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053" w:rsidRPr="00674790" w:rsidRDefault="00CF1053" w:rsidP="00CF1053">
      <w:pPr>
        <w:pStyle w:val="Verzeichnis1"/>
        <w:tabs>
          <w:tab w:val="right" w:leader="dot" w:pos="9062"/>
        </w:tabs>
        <w:rPr>
          <w:rFonts w:cs="Arial"/>
        </w:rPr>
      </w:pPr>
      <w:bookmarkStart w:id="0" w:name="_GoBack"/>
      <w:bookmarkEnd w:id="0"/>
    </w:p>
    <w:p w:rsidR="00CF1053" w:rsidRPr="00674790" w:rsidRDefault="00CF1053" w:rsidP="00CF1053">
      <w:pPr>
        <w:pStyle w:val="Verzeichnis1"/>
        <w:tabs>
          <w:tab w:val="right" w:leader="dot" w:pos="9062"/>
        </w:tabs>
        <w:rPr>
          <w:rFonts w:cs="Arial"/>
        </w:rPr>
      </w:pPr>
    </w:p>
    <w:p w:rsidR="00CF1053" w:rsidRPr="00674790" w:rsidRDefault="00CF1053" w:rsidP="00CF1053">
      <w:pPr>
        <w:pStyle w:val="Verzeichnis1"/>
        <w:tabs>
          <w:tab w:val="right" w:leader="dot" w:pos="9062"/>
        </w:tabs>
        <w:rPr>
          <w:rFonts w:cs="Arial"/>
        </w:rPr>
      </w:pPr>
    </w:p>
    <w:p w:rsidR="00CF1053" w:rsidRPr="00674790" w:rsidRDefault="00CF1053" w:rsidP="00CF1053">
      <w:pPr>
        <w:pStyle w:val="Verzeichnis1"/>
        <w:tabs>
          <w:tab w:val="right" w:leader="dot" w:pos="9062"/>
        </w:tabs>
        <w:rPr>
          <w:rFonts w:cs="Arial"/>
        </w:rPr>
      </w:pPr>
    </w:p>
    <w:p w:rsidR="00CF1053" w:rsidRPr="00674790" w:rsidRDefault="00CF1053" w:rsidP="00CF1053">
      <w:pPr>
        <w:pStyle w:val="Verzeichnis1"/>
        <w:tabs>
          <w:tab w:val="right" w:leader="dot" w:pos="9062"/>
        </w:tabs>
        <w:rPr>
          <w:rFonts w:cs="Arial"/>
        </w:rPr>
      </w:pPr>
    </w:p>
    <w:p w:rsidR="00CF1053" w:rsidRPr="00674790" w:rsidRDefault="00CF1053" w:rsidP="00CF1053">
      <w:pPr>
        <w:pStyle w:val="Verzeichnis1"/>
        <w:tabs>
          <w:tab w:val="right" w:leader="dot" w:pos="9062"/>
        </w:tabs>
        <w:rPr>
          <w:rFonts w:cs="Arial"/>
        </w:rPr>
      </w:pPr>
    </w:p>
    <w:p w:rsidR="00CF1053" w:rsidRPr="00674790" w:rsidRDefault="00CF1053" w:rsidP="00CF1053">
      <w:pPr>
        <w:pStyle w:val="Verzeichnis1"/>
        <w:tabs>
          <w:tab w:val="right" w:leader="dot" w:pos="9062"/>
        </w:tabs>
        <w:rPr>
          <w:rFonts w:cs="Arial"/>
        </w:rPr>
      </w:pPr>
    </w:p>
    <w:p w:rsidR="00CF1053" w:rsidRPr="00674790" w:rsidRDefault="00CF1053" w:rsidP="00CF1053">
      <w:pPr>
        <w:rPr>
          <w:rFonts w:cs="Arial"/>
          <w:lang w:eastAsia="en-US"/>
        </w:rPr>
      </w:pPr>
    </w:p>
    <w:p w:rsidR="00CF1053" w:rsidRPr="00674790" w:rsidRDefault="00CF1053" w:rsidP="00CF1053">
      <w:pPr>
        <w:rPr>
          <w:rFonts w:cs="Arial"/>
          <w:lang w:eastAsia="en-US"/>
        </w:rPr>
      </w:pPr>
    </w:p>
    <w:p w:rsidR="00CF1053" w:rsidRPr="00674790" w:rsidRDefault="00CF1053" w:rsidP="00CF1053">
      <w:pPr>
        <w:rPr>
          <w:rFonts w:cs="Arial"/>
          <w:lang w:eastAsia="en-US"/>
        </w:rPr>
      </w:pPr>
    </w:p>
    <w:p w:rsidR="00CF1053" w:rsidRPr="00674790" w:rsidRDefault="00CF1053" w:rsidP="00CF1053">
      <w:pPr>
        <w:pStyle w:val="Verzeichnis1"/>
        <w:tabs>
          <w:tab w:val="right" w:leader="dot" w:pos="9062"/>
        </w:tabs>
        <w:rPr>
          <w:rFonts w:cs="Arial"/>
        </w:rPr>
      </w:pPr>
    </w:p>
    <w:p w:rsidR="0048363F" w:rsidRPr="00674790" w:rsidRDefault="0048363F" w:rsidP="00CF1053">
      <w:pPr>
        <w:jc w:val="center"/>
        <w:rPr>
          <w:rFonts w:cs="Arial"/>
          <w:b/>
          <w:sz w:val="48"/>
          <w:szCs w:val="48"/>
        </w:rPr>
      </w:pPr>
    </w:p>
    <w:p w:rsidR="0048363F" w:rsidRPr="00674790" w:rsidRDefault="0048363F" w:rsidP="00CF1053">
      <w:pPr>
        <w:jc w:val="center"/>
        <w:rPr>
          <w:rFonts w:cs="Arial"/>
          <w:b/>
          <w:sz w:val="48"/>
          <w:szCs w:val="48"/>
        </w:rPr>
      </w:pPr>
    </w:p>
    <w:p w:rsidR="00CF1053" w:rsidRPr="00674790" w:rsidRDefault="00575C93" w:rsidP="00CF1053">
      <w:pPr>
        <w:jc w:val="center"/>
        <w:rPr>
          <w:rFonts w:cs="Arial"/>
          <w:b/>
          <w:sz w:val="72"/>
          <w:szCs w:val="72"/>
        </w:rPr>
      </w:pPr>
      <w:r w:rsidRPr="00674790">
        <w:rPr>
          <w:rFonts w:cs="Arial"/>
          <w:b/>
          <w:sz w:val="72"/>
          <w:szCs w:val="72"/>
        </w:rPr>
        <w:t>Studie</w:t>
      </w:r>
    </w:p>
    <w:p w:rsidR="00CF1053" w:rsidRPr="00674790" w:rsidRDefault="00CF1053" w:rsidP="00CF1053">
      <w:pPr>
        <w:jc w:val="center"/>
        <w:rPr>
          <w:rFonts w:cs="Arial"/>
          <w:b/>
          <w:sz w:val="72"/>
          <w:szCs w:val="72"/>
        </w:rPr>
      </w:pPr>
    </w:p>
    <w:p w:rsidR="00CF1053" w:rsidRPr="00674790" w:rsidRDefault="00492154" w:rsidP="00CF1053">
      <w:pPr>
        <w:jc w:val="center"/>
        <w:rPr>
          <w:rFonts w:cs="Arial"/>
          <w:b/>
          <w:sz w:val="72"/>
          <w:szCs w:val="72"/>
        </w:rPr>
      </w:pPr>
      <w:r w:rsidRPr="00674790">
        <w:rPr>
          <w:rFonts w:cs="Arial"/>
          <w:b/>
          <w:sz w:val="72"/>
          <w:szCs w:val="72"/>
        </w:rPr>
        <w:t>Finanzierungen gemäß Bundesgesetz über alternative Finanzierungsformen</w:t>
      </w:r>
    </w:p>
    <w:p w:rsidR="00CF1053" w:rsidRPr="00674790" w:rsidRDefault="00CF1053" w:rsidP="00CF1053">
      <w:pPr>
        <w:pStyle w:val="Verzeichnis1"/>
        <w:tabs>
          <w:tab w:val="right" w:leader="dot" w:pos="9062"/>
        </w:tabs>
        <w:rPr>
          <w:rFonts w:cs="Arial"/>
        </w:rPr>
      </w:pPr>
    </w:p>
    <w:p w:rsidR="00CF1053" w:rsidRPr="00674790" w:rsidRDefault="00CF1053" w:rsidP="00CF1053">
      <w:pPr>
        <w:rPr>
          <w:rFonts w:cs="Arial"/>
        </w:rPr>
      </w:pPr>
    </w:p>
    <w:p w:rsidR="00CF1053" w:rsidRPr="00674790" w:rsidRDefault="00CF1053" w:rsidP="00CF1053">
      <w:pPr>
        <w:rPr>
          <w:rFonts w:cs="Arial"/>
        </w:rPr>
      </w:pPr>
    </w:p>
    <w:p w:rsidR="00CF1053" w:rsidRPr="00674790" w:rsidRDefault="00CF1053" w:rsidP="00CF1053">
      <w:pPr>
        <w:rPr>
          <w:rFonts w:cs="Arial"/>
        </w:rPr>
      </w:pPr>
    </w:p>
    <w:p w:rsidR="00CF1053" w:rsidRPr="00674790" w:rsidRDefault="00CF1053" w:rsidP="00CF1053">
      <w:pPr>
        <w:rPr>
          <w:rFonts w:cs="Arial"/>
        </w:rPr>
      </w:pPr>
    </w:p>
    <w:p w:rsidR="00CF1053" w:rsidRPr="00674790" w:rsidRDefault="00CF1053" w:rsidP="00CF1053">
      <w:pPr>
        <w:pStyle w:val="Verzeichnis1"/>
        <w:tabs>
          <w:tab w:val="right" w:leader="dot" w:pos="9062"/>
        </w:tabs>
        <w:rPr>
          <w:rFonts w:cs="Arial"/>
        </w:rPr>
      </w:pPr>
    </w:p>
    <w:p w:rsidR="00CF1053" w:rsidRPr="00674790" w:rsidRDefault="00CF1053" w:rsidP="00CF1053">
      <w:pPr>
        <w:jc w:val="center"/>
        <w:rPr>
          <w:rFonts w:cs="Arial"/>
          <w:b/>
          <w:sz w:val="40"/>
          <w:szCs w:val="40"/>
        </w:rPr>
      </w:pPr>
    </w:p>
    <w:p w:rsidR="004F37EF" w:rsidRPr="00674790" w:rsidRDefault="004F37EF" w:rsidP="00CF1053">
      <w:pPr>
        <w:jc w:val="center"/>
        <w:rPr>
          <w:rFonts w:cs="Arial"/>
          <w:b/>
          <w:sz w:val="40"/>
          <w:szCs w:val="40"/>
        </w:rPr>
      </w:pPr>
    </w:p>
    <w:p w:rsidR="00CF1053" w:rsidRPr="00674790" w:rsidRDefault="00CF1053" w:rsidP="00CF1053">
      <w:pPr>
        <w:jc w:val="center"/>
        <w:rPr>
          <w:rFonts w:cs="Arial"/>
          <w:b/>
          <w:sz w:val="40"/>
          <w:szCs w:val="40"/>
        </w:rPr>
      </w:pPr>
    </w:p>
    <w:p w:rsidR="00CF1053" w:rsidRPr="00674790" w:rsidRDefault="00CF1053" w:rsidP="00CF1053">
      <w:pPr>
        <w:rPr>
          <w:rFonts w:cs="Arial"/>
          <w:b/>
        </w:rPr>
      </w:pPr>
    </w:p>
    <w:p w:rsidR="00CF1053" w:rsidRPr="00674790" w:rsidRDefault="00814B21" w:rsidP="00CF1053">
      <w:pPr>
        <w:jc w:val="center"/>
        <w:rPr>
          <w:rFonts w:cs="Arial"/>
          <w:b/>
          <w:sz w:val="40"/>
          <w:szCs w:val="40"/>
        </w:rPr>
      </w:pPr>
      <w:r>
        <w:rPr>
          <w:rFonts w:cs="Arial"/>
          <w:b/>
          <w:sz w:val="40"/>
          <w:szCs w:val="40"/>
        </w:rPr>
        <w:t>März</w:t>
      </w:r>
      <w:r w:rsidR="00990A2C" w:rsidRPr="00674790">
        <w:rPr>
          <w:rFonts w:cs="Arial"/>
          <w:b/>
          <w:sz w:val="40"/>
          <w:szCs w:val="40"/>
        </w:rPr>
        <w:t xml:space="preserve"> 2018</w:t>
      </w:r>
    </w:p>
    <w:p w:rsidR="00CF1053" w:rsidRPr="00674790" w:rsidRDefault="00CF1053" w:rsidP="00CF1053">
      <w:pPr>
        <w:jc w:val="center"/>
        <w:rPr>
          <w:rFonts w:cs="Arial"/>
          <w:b/>
          <w:sz w:val="40"/>
          <w:szCs w:val="40"/>
        </w:rPr>
      </w:pPr>
    </w:p>
    <w:p w:rsidR="00CF1053" w:rsidRPr="00674790" w:rsidRDefault="00CF1053" w:rsidP="00CF1053">
      <w:pPr>
        <w:jc w:val="center"/>
        <w:rPr>
          <w:rFonts w:cs="Arial"/>
          <w:b/>
          <w:sz w:val="40"/>
          <w:szCs w:val="40"/>
        </w:rPr>
      </w:pPr>
    </w:p>
    <w:p w:rsidR="00CF1053" w:rsidRPr="00674790" w:rsidRDefault="00CF1053" w:rsidP="00CF1053">
      <w:pPr>
        <w:jc w:val="center"/>
        <w:rPr>
          <w:rFonts w:cs="Arial"/>
          <w:b/>
          <w:sz w:val="40"/>
          <w:szCs w:val="40"/>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p>
    <w:p w:rsidR="00E91D29" w:rsidRPr="00674790" w:rsidRDefault="00E91D29" w:rsidP="00CF1053">
      <w:pPr>
        <w:jc w:val="both"/>
        <w:rPr>
          <w:rFonts w:cs="Arial"/>
          <w:sz w:val="28"/>
          <w:u w:val="single"/>
        </w:rPr>
      </w:pPr>
    </w:p>
    <w:p w:rsidR="00E91D29" w:rsidRPr="00674790" w:rsidRDefault="00E91D29" w:rsidP="00CF1053">
      <w:pPr>
        <w:jc w:val="both"/>
        <w:rPr>
          <w:rFonts w:cs="Arial"/>
          <w:sz w:val="28"/>
          <w:u w:val="single"/>
        </w:rPr>
      </w:pPr>
    </w:p>
    <w:p w:rsidR="00E91D29" w:rsidRPr="00674790" w:rsidRDefault="00E91D29" w:rsidP="00CF1053">
      <w:pPr>
        <w:jc w:val="both"/>
        <w:rPr>
          <w:rFonts w:cs="Arial"/>
          <w:sz w:val="28"/>
          <w:u w:val="single"/>
        </w:rPr>
      </w:pPr>
    </w:p>
    <w:p w:rsidR="00E91D29" w:rsidRPr="00674790" w:rsidRDefault="00E91D29" w:rsidP="00CF1053">
      <w:pPr>
        <w:jc w:val="both"/>
        <w:rPr>
          <w:rFonts w:cs="Arial"/>
          <w:sz w:val="28"/>
          <w:u w:val="single"/>
        </w:rPr>
      </w:pPr>
    </w:p>
    <w:p w:rsidR="00E91D29" w:rsidRPr="00674790" w:rsidRDefault="00E91D29" w:rsidP="00CF1053">
      <w:pPr>
        <w:jc w:val="both"/>
        <w:rPr>
          <w:rFonts w:cs="Arial"/>
          <w:sz w:val="28"/>
          <w:u w:val="single"/>
        </w:rPr>
      </w:pPr>
    </w:p>
    <w:p w:rsidR="00E91D29" w:rsidRPr="00674790" w:rsidRDefault="00E91D29" w:rsidP="00CF1053">
      <w:pPr>
        <w:jc w:val="both"/>
        <w:rPr>
          <w:rFonts w:cs="Arial"/>
          <w:sz w:val="28"/>
          <w:u w:val="single"/>
        </w:rPr>
      </w:pPr>
    </w:p>
    <w:p w:rsidR="00E91D29" w:rsidRPr="00674790" w:rsidRDefault="00E91D29" w:rsidP="00CF1053">
      <w:pPr>
        <w:jc w:val="both"/>
        <w:rPr>
          <w:rFonts w:cs="Arial"/>
          <w:sz w:val="28"/>
          <w:u w:val="single"/>
        </w:rPr>
      </w:pPr>
    </w:p>
    <w:p w:rsidR="00E91D29" w:rsidRPr="00674790" w:rsidRDefault="00E91D29" w:rsidP="00CF1053">
      <w:pPr>
        <w:jc w:val="both"/>
        <w:rPr>
          <w:rFonts w:cs="Arial"/>
          <w:sz w:val="28"/>
          <w:u w:val="single"/>
        </w:rPr>
      </w:pPr>
    </w:p>
    <w:p w:rsidR="00E91D29" w:rsidRPr="00674790" w:rsidRDefault="00E91D29" w:rsidP="00CF1053">
      <w:pPr>
        <w:jc w:val="both"/>
        <w:rPr>
          <w:rFonts w:cs="Arial"/>
          <w:sz w:val="28"/>
          <w:u w:val="single"/>
        </w:rPr>
      </w:pPr>
    </w:p>
    <w:p w:rsidR="00E91D29" w:rsidRPr="00674790" w:rsidRDefault="00E91D29" w:rsidP="00CF1053">
      <w:pPr>
        <w:jc w:val="both"/>
        <w:rPr>
          <w:rFonts w:cs="Arial"/>
          <w:sz w:val="28"/>
          <w:u w:val="single"/>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p>
    <w:p w:rsidR="00CF1053" w:rsidRPr="00674790" w:rsidRDefault="00CF1053" w:rsidP="00CF1053">
      <w:pPr>
        <w:jc w:val="both"/>
        <w:rPr>
          <w:rFonts w:cs="Arial"/>
          <w:sz w:val="28"/>
          <w:u w:val="single"/>
        </w:rPr>
      </w:pPr>
      <w:r w:rsidRPr="00674790">
        <w:rPr>
          <w:rFonts w:cs="Arial"/>
          <w:sz w:val="28"/>
          <w:u w:val="single"/>
        </w:rPr>
        <w:t>Projektdurchführung:</w:t>
      </w:r>
    </w:p>
    <w:p w:rsidR="00CF1053" w:rsidRPr="00674790" w:rsidRDefault="00CF1053" w:rsidP="00CF1053">
      <w:pPr>
        <w:jc w:val="both"/>
        <w:rPr>
          <w:rFonts w:cs="Arial"/>
          <w:sz w:val="28"/>
        </w:rPr>
      </w:pPr>
      <w:r w:rsidRPr="00674790">
        <w:rPr>
          <w:rFonts w:cs="Arial"/>
          <w:sz w:val="28"/>
        </w:rPr>
        <w:t>Verein für Konsumenteninformation</w:t>
      </w:r>
    </w:p>
    <w:p w:rsidR="00CF1053" w:rsidRPr="00674790" w:rsidRDefault="00CF1053" w:rsidP="00CF1053">
      <w:pPr>
        <w:jc w:val="both"/>
        <w:rPr>
          <w:rFonts w:cs="Arial"/>
          <w:sz w:val="28"/>
        </w:rPr>
      </w:pPr>
      <w:r w:rsidRPr="00674790">
        <w:rPr>
          <w:rFonts w:cs="Arial"/>
          <w:sz w:val="28"/>
        </w:rPr>
        <w:t>Mariahilfer Straße 81</w:t>
      </w:r>
    </w:p>
    <w:p w:rsidR="00CF1053" w:rsidRPr="00674790" w:rsidRDefault="00CF1053" w:rsidP="00CF1053">
      <w:pPr>
        <w:jc w:val="both"/>
        <w:rPr>
          <w:rFonts w:cs="Arial"/>
          <w:sz w:val="28"/>
        </w:rPr>
      </w:pPr>
      <w:r w:rsidRPr="00674790">
        <w:rPr>
          <w:rFonts w:cs="Arial"/>
          <w:sz w:val="28"/>
        </w:rPr>
        <w:t>1060 Wien</w:t>
      </w:r>
    </w:p>
    <w:p w:rsidR="00CF1053" w:rsidRPr="00674790" w:rsidRDefault="00CF1053" w:rsidP="00CF1053">
      <w:pPr>
        <w:jc w:val="both"/>
        <w:rPr>
          <w:rFonts w:cs="Arial"/>
          <w:sz w:val="28"/>
        </w:rPr>
      </w:pPr>
    </w:p>
    <w:p w:rsidR="00CF1053" w:rsidRPr="00674790" w:rsidRDefault="007C5587" w:rsidP="00CF1053">
      <w:pPr>
        <w:jc w:val="both"/>
        <w:rPr>
          <w:rFonts w:cs="Arial"/>
          <w:sz w:val="28"/>
          <w:u w:val="single"/>
        </w:rPr>
      </w:pPr>
      <w:r w:rsidRPr="00674790">
        <w:rPr>
          <w:rFonts w:cs="Arial"/>
          <w:sz w:val="28"/>
          <w:u w:val="single"/>
        </w:rPr>
        <w:t>Autor</w:t>
      </w:r>
      <w:r w:rsidR="00CF1053" w:rsidRPr="00674790">
        <w:rPr>
          <w:rFonts w:cs="Arial"/>
          <w:sz w:val="28"/>
          <w:u w:val="single"/>
        </w:rPr>
        <w:t>:</w:t>
      </w:r>
    </w:p>
    <w:p w:rsidR="00CF1053" w:rsidRPr="00674790" w:rsidRDefault="00E91D29" w:rsidP="00CF1053">
      <w:pPr>
        <w:jc w:val="both"/>
        <w:rPr>
          <w:rFonts w:cs="Arial"/>
          <w:sz w:val="28"/>
        </w:rPr>
      </w:pPr>
      <w:r w:rsidRPr="00674790">
        <w:rPr>
          <w:rFonts w:cs="Arial"/>
          <w:sz w:val="28"/>
        </w:rPr>
        <w:t>Bernd Lausecker</w:t>
      </w:r>
    </w:p>
    <w:p w:rsidR="000E0CB2" w:rsidRPr="00674790" w:rsidRDefault="000E0CB2" w:rsidP="00CF1053">
      <w:pPr>
        <w:jc w:val="both"/>
        <w:rPr>
          <w:rFonts w:cs="Arial"/>
          <w:sz w:val="28"/>
        </w:rPr>
      </w:pPr>
    </w:p>
    <w:p w:rsidR="00CF1053" w:rsidRPr="00674790" w:rsidRDefault="00CF1053" w:rsidP="00CF1053">
      <w:pPr>
        <w:jc w:val="both"/>
        <w:rPr>
          <w:rFonts w:cs="Arial"/>
          <w:sz w:val="28"/>
          <w:u w:val="single"/>
        </w:rPr>
      </w:pPr>
      <w:r w:rsidRPr="00674790">
        <w:rPr>
          <w:rFonts w:cs="Arial"/>
          <w:sz w:val="28"/>
          <w:u w:val="single"/>
        </w:rPr>
        <w:t>Projektzeitraum:</w:t>
      </w:r>
    </w:p>
    <w:p w:rsidR="00CF1053" w:rsidRPr="00674790" w:rsidRDefault="00990A2C" w:rsidP="00CF1053">
      <w:pPr>
        <w:jc w:val="both"/>
        <w:rPr>
          <w:rFonts w:cs="Arial"/>
          <w:sz w:val="28"/>
        </w:rPr>
      </w:pPr>
      <w:r w:rsidRPr="00674790">
        <w:rPr>
          <w:rFonts w:cs="Arial"/>
          <w:sz w:val="28"/>
        </w:rPr>
        <w:t>Jan/Feb</w:t>
      </w:r>
      <w:r w:rsidR="0094432C" w:rsidRPr="00674790">
        <w:rPr>
          <w:rFonts w:cs="Arial"/>
          <w:sz w:val="28"/>
        </w:rPr>
        <w:t xml:space="preserve"> </w:t>
      </w:r>
      <w:r w:rsidR="00CF1053" w:rsidRPr="00674790">
        <w:rPr>
          <w:rFonts w:cs="Arial"/>
          <w:sz w:val="28"/>
        </w:rPr>
        <w:t>201</w:t>
      </w:r>
      <w:r w:rsidRPr="00674790">
        <w:rPr>
          <w:rFonts w:cs="Arial"/>
          <w:sz w:val="28"/>
        </w:rPr>
        <w:t>8</w:t>
      </w:r>
    </w:p>
    <w:p w:rsidR="00CF1053" w:rsidRPr="00674790" w:rsidRDefault="00CF1053" w:rsidP="00CF1053">
      <w:pPr>
        <w:jc w:val="both"/>
        <w:rPr>
          <w:rFonts w:cs="Arial"/>
          <w:sz w:val="28"/>
        </w:rPr>
      </w:pPr>
    </w:p>
    <w:p w:rsidR="00CF1053" w:rsidRPr="00674790" w:rsidRDefault="00CF1053" w:rsidP="00CF1053">
      <w:pPr>
        <w:jc w:val="both"/>
        <w:rPr>
          <w:rFonts w:cs="Arial"/>
          <w:sz w:val="28"/>
        </w:rPr>
      </w:pPr>
    </w:p>
    <w:p w:rsidR="00CF1053" w:rsidRPr="00674790" w:rsidRDefault="00CF1053" w:rsidP="00CF1053">
      <w:pPr>
        <w:pStyle w:val="Verzeichnis1"/>
        <w:tabs>
          <w:tab w:val="right" w:leader="dot" w:pos="9062"/>
        </w:tabs>
        <w:rPr>
          <w:rFonts w:cs="Arial"/>
        </w:rPr>
      </w:pPr>
    </w:p>
    <w:p w:rsidR="00CF1053" w:rsidRPr="00674790" w:rsidRDefault="00CF1053" w:rsidP="00CF1053">
      <w:pPr>
        <w:pStyle w:val="Verzeichnis1"/>
        <w:tabs>
          <w:tab w:val="right" w:leader="dot" w:pos="9062"/>
        </w:tabs>
        <w:rPr>
          <w:rFonts w:cs="Arial"/>
          <w:b/>
          <w:bCs/>
        </w:rPr>
        <w:sectPr w:rsidR="00CF1053" w:rsidRPr="00674790" w:rsidSect="00CF1053">
          <w:headerReference w:type="default" r:id="rId9"/>
          <w:footerReference w:type="even" r:id="rId10"/>
          <w:footerReference w:type="default" r:id="rId11"/>
          <w:footerReference w:type="first" r:id="rId12"/>
          <w:pgSz w:w="11906" w:h="16838"/>
          <w:pgMar w:top="1417" w:right="1417" w:bottom="1134" w:left="1417" w:header="708" w:footer="708" w:gutter="0"/>
          <w:pgNumType w:start="1"/>
          <w:cols w:space="708"/>
          <w:titlePg/>
          <w:docGrid w:linePitch="360"/>
        </w:sectPr>
      </w:pPr>
    </w:p>
    <w:p w:rsidR="00CF1053" w:rsidRPr="00674790" w:rsidRDefault="00CF1053" w:rsidP="004D04AC">
      <w:pPr>
        <w:pStyle w:val="Verzeichnis1"/>
        <w:tabs>
          <w:tab w:val="right" w:leader="dot" w:pos="9062"/>
        </w:tabs>
        <w:spacing w:line="360" w:lineRule="auto"/>
        <w:rPr>
          <w:rFonts w:cs="Arial"/>
          <w:b/>
          <w:bCs/>
        </w:rPr>
      </w:pPr>
      <w:r w:rsidRPr="00674790">
        <w:rPr>
          <w:rFonts w:cs="Arial"/>
          <w:b/>
          <w:bCs/>
        </w:rPr>
        <w:lastRenderedPageBreak/>
        <w:t>INHALTSVERZEICHNIS</w:t>
      </w:r>
    </w:p>
    <w:p w:rsidR="0079431D" w:rsidRDefault="00C42C38">
      <w:pPr>
        <w:pStyle w:val="Verzeichnis1"/>
        <w:tabs>
          <w:tab w:val="right" w:leader="dot" w:pos="9060"/>
        </w:tabs>
        <w:rPr>
          <w:rFonts w:asciiTheme="minorHAnsi" w:eastAsiaTheme="minorEastAsia" w:hAnsiTheme="minorHAnsi" w:cstheme="minorBidi"/>
          <w:noProof/>
          <w:sz w:val="22"/>
          <w:szCs w:val="22"/>
          <w:lang w:val="de-AT" w:eastAsia="de-AT"/>
        </w:rPr>
      </w:pPr>
      <w:r w:rsidRPr="00674790">
        <w:rPr>
          <w:rFonts w:cs="Arial"/>
        </w:rPr>
        <w:fldChar w:fldCharType="begin"/>
      </w:r>
      <w:r w:rsidRPr="00674790">
        <w:rPr>
          <w:rFonts w:cs="Arial"/>
        </w:rPr>
        <w:instrText xml:space="preserve"> </w:instrText>
      </w:r>
      <w:r w:rsidR="000E28DD" w:rsidRPr="00674790">
        <w:rPr>
          <w:rFonts w:cs="Arial"/>
        </w:rPr>
        <w:instrText>TOC</w:instrText>
      </w:r>
      <w:r w:rsidRPr="00674790">
        <w:rPr>
          <w:rFonts w:cs="Arial"/>
        </w:rPr>
        <w:instrText xml:space="preserve"> \o "1-3" \h \z \u </w:instrText>
      </w:r>
      <w:r w:rsidRPr="00674790">
        <w:rPr>
          <w:rFonts w:cs="Arial"/>
        </w:rPr>
        <w:fldChar w:fldCharType="separate"/>
      </w:r>
      <w:hyperlink w:anchor="_Toc513756834" w:history="1">
        <w:r w:rsidR="0079431D" w:rsidRPr="003362F3">
          <w:rPr>
            <w:rStyle w:val="Hyperlink"/>
            <w:noProof/>
          </w:rPr>
          <w:t>Ziel und Methodik der Studie</w:t>
        </w:r>
        <w:r w:rsidR="0079431D">
          <w:rPr>
            <w:noProof/>
            <w:webHidden/>
          </w:rPr>
          <w:tab/>
        </w:r>
        <w:r w:rsidR="0079431D">
          <w:rPr>
            <w:noProof/>
            <w:webHidden/>
          </w:rPr>
          <w:fldChar w:fldCharType="begin"/>
        </w:r>
        <w:r w:rsidR="0079431D">
          <w:rPr>
            <w:noProof/>
            <w:webHidden/>
          </w:rPr>
          <w:instrText xml:space="preserve"> PAGEREF _Toc513756834 \h </w:instrText>
        </w:r>
        <w:r w:rsidR="0079431D">
          <w:rPr>
            <w:noProof/>
            <w:webHidden/>
          </w:rPr>
        </w:r>
        <w:r w:rsidR="0079431D">
          <w:rPr>
            <w:noProof/>
            <w:webHidden/>
          </w:rPr>
          <w:fldChar w:fldCharType="separate"/>
        </w:r>
        <w:r w:rsidR="0079431D">
          <w:rPr>
            <w:noProof/>
            <w:webHidden/>
          </w:rPr>
          <w:t>4</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35" w:history="1">
        <w:r w:rsidR="0079431D" w:rsidRPr="003362F3">
          <w:rPr>
            <w:rStyle w:val="Hyperlink"/>
            <w:noProof/>
          </w:rPr>
          <w:t>Zusammenfassung</w:t>
        </w:r>
        <w:r w:rsidR="0079431D">
          <w:rPr>
            <w:noProof/>
            <w:webHidden/>
          </w:rPr>
          <w:tab/>
        </w:r>
        <w:r w:rsidR="0079431D">
          <w:rPr>
            <w:noProof/>
            <w:webHidden/>
          </w:rPr>
          <w:fldChar w:fldCharType="begin"/>
        </w:r>
        <w:r w:rsidR="0079431D">
          <w:rPr>
            <w:noProof/>
            <w:webHidden/>
          </w:rPr>
          <w:instrText xml:space="preserve"> PAGEREF _Toc513756835 \h </w:instrText>
        </w:r>
        <w:r w:rsidR="0079431D">
          <w:rPr>
            <w:noProof/>
            <w:webHidden/>
          </w:rPr>
        </w:r>
        <w:r w:rsidR="0079431D">
          <w:rPr>
            <w:noProof/>
            <w:webHidden/>
          </w:rPr>
          <w:fldChar w:fldCharType="separate"/>
        </w:r>
        <w:r w:rsidR="0079431D">
          <w:rPr>
            <w:noProof/>
            <w:webHidden/>
          </w:rPr>
          <w:t>5</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36" w:history="1">
        <w:r w:rsidR="0079431D" w:rsidRPr="003362F3">
          <w:rPr>
            <w:rStyle w:val="Hyperlink"/>
            <w:noProof/>
          </w:rPr>
          <w:t>Ansatzpunkte</w:t>
        </w:r>
        <w:r w:rsidR="0079431D">
          <w:rPr>
            <w:noProof/>
            <w:webHidden/>
          </w:rPr>
          <w:tab/>
        </w:r>
        <w:r w:rsidR="0079431D">
          <w:rPr>
            <w:noProof/>
            <w:webHidden/>
          </w:rPr>
          <w:fldChar w:fldCharType="begin"/>
        </w:r>
        <w:r w:rsidR="0079431D">
          <w:rPr>
            <w:noProof/>
            <w:webHidden/>
          </w:rPr>
          <w:instrText xml:space="preserve"> PAGEREF _Toc513756836 \h </w:instrText>
        </w:r>
        <w:r w:rsidR="0079431D">
          <w:rPr>
            <w:noProof/>
            <w:webHidden/>
          </w:rPr>
        </w:r>
        <w:r w:rsidR="0079431D">
          <w:rPr>
            <w:noProof/>
            <w:webHidden/>
          </w:rPr>
          <w:fldChar w:fldCharType="separate"/>
        </w:r>
        <w:r w:rsidR="0079431D">
          <w:rPr>
            <w:noProof/>
            <w:webHidden/>
          </w:rPr>
          <w:t>6</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37" w:history="1">
        <w:r w:rsidR="0079431D" w:rsidRPr="003362F3">
          <w:rPr>
            <w:rStyle w:val="Hyperlink"/>
            <w:noProof/>
          </w:rPr>
          <w:t>Entstehung</w:t>
        </w:r>
        <w:r w:rsidR="0079431D">
          <w:rPr>
            <w:noProof/>
            <w:webHidden/>
          </w:rPr>
          <w:tab/>
        </w:r>
        <w:r w:rsidR="0079431D">
          <w:rPr>
            <w:noProof/>
            <w:webHidden/>
          </w:rPr>
          <w:fldChar w:fldCharType="begin"/>
        </w:r>
        <w:r w:rsidR="0079431D">
          <w:rPr>
            <w:noProof/>
            <w:webHidden/>
          </w:rPr>
          <w:instrText xml:space="preserve"> PAGEREF _Toc513756837 \h </w:instrText>
        </w:r>
        <w:r w:rsidR="0079431D">
          <w:rPr>
            <w:noProof/>
            <w:webHidden/>
          </w:rPr>
        </w:r>
        <w:r w:rsidR="0079431D">
          <w:rPr>
            <w:noProof/>
            <w:webHidden/>
          </w:rPr>
          <w:fldChar w:fldCharType="separate"/>
        </w:r>
        <w:r w:rsidR="0079431D">
          <w:rPr>
            <w:noProof/>
            <w:webHidden/>
          </w:rPr>
          <w:t>7</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38" w:history="1">
        <w:r w:rsidR="0079431D" w:rsidRPr="003362F3">
          <w:rPr>
            <w:rStyle w:val="Hyperlink"/>
            <w:noProof/>
          </w:rPr>
          <w:t>Arten von Crowdfinanzierungen (international)</w:t>
        </w:r>
        <w:r w:rsidR="0079431D">
          <w:rPr>
            <w:noProof/>
            <w:webHidden/>
          </w:rPr>
          <w:tab/>
        </w:r>
        <w:r w:rsidR="0079431D">
          <w:rPr>
            <w:noProof/>
            <w:webHidden/>
          </w:rPr>
          <w:fldChar w:fldCharType="begin"/>
        </w:r>
        <w:r w:rsidR="0079431D">
          <w:rPr>
            <w:noProof/>
            <w:webHidden/>
          </w:rPr>
          <w:instrText xml:space="preserve"> PAGEREF _Toc513756838 \h </w:instrText>
        </w:r>
        <w:r w:rsidR="0079431D">
          <w:rPr>
            <w:noProof/>
            <w:webHidden/>
          </w:rPr>
        </w:r>
        <w:r w:rsidR="0079431D">
          <w:rPr>
            <w:noProof/>
            <w:webHidden/>
          </w:rPr>
          <w:fldChar w:fldCharType="separate"/>
        </w:r>
        <w:r w:rsidR="0079431D">
          <w:rPr>
            <w:noProof/>
            <w:webHidden/>
          </w:rPr>
          <w:t>8</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39" w:history="1">
        <w:r w:rsidR="0079431D" w:rsidRPr="003362F3">
          <w:rPr>
            <w:rStyle w:val="Hyperlink"/>
            <w:noProof/>
          </w:rPr>
          <w:t>2 ½ Jahre AltFG in Österreich</w:t>
        </w:r>
        <w:r w:rsidR="0079431D">
          <w:rPr>
            <w:noProof/>
            <w:webHidden/>
          </w:rPr>
          <w:tab/>
        </w:r>
        <w:r w:rsidR="0079431D">
          <w:rPr>
            <w:noProof/>
            <w:webHidden/>
          </w:rPr>
          <w:fldChar w:fldCharType="begin"/>
        </w:r>
        <w:r w:rsidR="0079431D">
          <w:rPr>
            <w:noProof/>
            <w:webHidden/>
          </w:rPr>
          <w:instrText xml:space="preserve"> PAGEREF _Toc513756839 \h </w:instrText>
        </w:r>
        <w:r w:rsidR="0079431D">
          <w:rPr>
            <w:noProof/>
            <w:webHidden/>
          </w:rPr>
        </w:r>
        <w:r w:rsidR="0079431D">
          <w:rPr>
            <w:noProof/>
            <w:webHidden/>
          </w:rPr>
          <w:fldChar w:fldCharType="separate"/>
        </w:r>
        <w:r w:rsidR="0079431D">
          <w:rPr>
            <w:noProof/>
            <w:webHidden/>
          </w:rPr>
          <w:t>9</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40" w:history="1">
        <w:r w:rsidR="0079431D" w:rsidRPr="003362F3">
          <w:rPr>
            <w:rStyle w:val="Hyperlink"/>
            <w:noProof/>
          </w:rPr>
          <w:t>AltFG – gesetzliche Regelung in Österreich</w:t>
        </w:r>
        <w:r w:rsidR="0079431D">
          <w:rPr>
            <w:noProof/>
            <w:webHidden/>
          </w:rPr>
          <w:tab/>
        </w:r>
        <w:r w:rsidR="0079431D">
          <w:rPr>
            <w:noProof/>
            <w:webHidden/>
          </w:rPr>
          <w:fldChar w:fldCharType="begin"/>
        </w:r>
        <w:r w:rsidR="0079431D">
          <w:rPr>
            <w:noProof/>
            <w:webHidden/>
          </w:rPr>
          <w:instrText xml:space="preserve"> PAGEREF _Toc513756840 \h </w:instrText>
        </w:r>
        <w:r w:rsidR="0079431D">
          <w:rPr>
            <w:noProof/>
            <w:webHidden/>
          </w:rPr>
        </w:r>
        <w:r w:rsidR="0079431D">
          <w:rPr>
            <w:noProof/>
            <w:webHidden/>
          </w:rPr>
          <w:fldChar w:fldCharType="separate"/>
        </w:r>
        <w:r w:rsidR="0079431D">
          <w:rPr>
            <w:noProof/>
            <w:webHidden/>
          </w:rPr>
          <w:t>9</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41" w:history="1">
        <w:r w:rsidR="0079431D" w:rsidRPr="003362F3">
          <w:rPr>
            <w:rStyle w:val="Hyperlink"/>
            <w:noProof/>
          </w:rPr>
          <w:t>Anbieter und Kapitalsucher</w:t>
        </w:r>
        <w:r w:rsidR="0079431D">
          <w:rPr>
            <w:noProof/>
            <w:webHidden/>
          </w:rPr>
          <w:tab/>
        </w:r>
        <w:r w:rsidR="0079431D">
          <w:rPr>
            <w:noProof/>
            <w:webHidden/>
          </w:rPr>
          <w:fldChar w:fldCharType="begin"/>
        </w:r>
        <w:r w:rsidR="0079431D">
          <w:rPr>
            <w:noProof/>
            <w:webHidden/>
          </w:rPr>
          <w:instrText xml:space="preserve"> PAGEREF _Toc513756841 \h </w:instrText>
        </w:r>
        <w:r w:rsidR="0079431D">
          <w:rPr>
            <w:noProof/>
            <w:webHidden/>
          </w:rPr>
        </w:r>
        <w:r w:rsidR="0079431D">
          <w:rPr>
            <w:noProof/>
            <w:webHidden/>
          </w:rPr>
          <w:fldChar w:fldCharType="separate"/>
        </w:r>
        <w:r w:rsidR="0079431D">
          <w:rPr>
            <w:noProof/>
            <w:webHidden/>
          </w:rPr>
          <w:t>11</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42" w:history="1">
        <w:r w:rsidR="0079431D" w:rsidRPr="003362F3">
          <w:rPr>
            <w:rStyle w:val="Hyperlink"/>
            <w:noProof/>
          </w:rPr>
          <w:t>Bauträger und Immobilienfinanzierungen</w:t>
        </w:r>
        <w:r w:rsidR="0079431D">
          <w:rPr>
            <w:noProof/>
            <w:webHidden/>
          </w:rPr>
          <w:tab/>
        </w:r>
        <w:r w:rsidR="0079431D">
          <w:rPr>
            <w:noProof/>
            <w:webHidden/>
          </w:rPr>
          <w:fldChar w:fldCharType="begin"/>
        </w:r>
        <w:r w:rsidR="0079431D">
          <w:rPr>
            <w:noProof/>
            <w:webHidden/>
          </w:rPr>
          <w:instrText xml:space="preserve"> PAGEREF _Toc513756842 \h </w:instrText>
        </w:r>
        <w:r w:rsidR="0079431D">
          <w:rPr>
            <w:noProof/>
            <w:webHidden/>
          </w:rPr>
        </w:r>
        <w:r w:rsidR="0079431D">
          <w:rPr>
            <w:noProof/>
            <w:webHidden/>
          </w:rPr>
          <w:fldChar w:fldCharType="separate"/>
        </w:r>
        <w:r w:rsidR="0079431D">
          <w:rPr>
            <w:noProof/>
            <w:webHidden/>
          </w:rPr>
          <w:t>11</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43" w:history="1">
        <w:r w:rsidR="0079431D" w:rsidRPr="003362F3">
          <w:rPr>
            <w:rStyle w:val="Hyperlink"/>
            <w:noProof/>
          </w:rPr>
          <w:t>Startups</w:t>
        </w:r>
        <w:r w:rsidR="0079431D">
          <w:rPr>
            <w:noProof/>
            <w:webHidden/>
          </w:rPr>
          <w:tab/>
        </w:r>
        <w:r w:rsidR="0079431D">
          <w:rPr>
            <w:noProof/>
            <w:webHidden/>
          </w:rPr>
          <w:fldChar w:fldCharType="begin"/>
        </w:r>
        <w:r w:rsidR="0079431D">
          <w:rPr>
            <w:noProof/>
            <w:webHidden/>
          </w:rPr>
          <w:instrText xml:space="preserve"> PAGEREF _Toc513756843 \h </w:instrText>
        </w:r>
        <w:r w:rsidR="0079431D">
          <w:rPr>
            <w:noProof/>
            <w:webHidden/>
          </w:rPr>
        </w:r>
        <w:r w:rsidR="0079431D">
          <w:rPr>
            <w:noProof/>
            <w:webHidden/>
          </w:rPr>
          <w:fldChar w:fldCharType="separate"/>
        </w:r>
        <w:r w:rsidR="0079431D">
          <w:rPr>
            <w:noProof/>
            <w:webHidden/>
          </w:rPr>
          <w:t>12</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44" w:history="1">
        <w:r w:rsidR="0079431D" w:rsidRPr="003362F3">
          <w:rPr>
            <w:rStyle w:val="Hyperlink"/>
            <w:noProof/>
          </w:rPr>
          <w:t>KMU</w:t>
        </w:r>
        <w:r w:rsidR="0079431D">
          <w:rPr>
            <w:noProof/>
            <w:webHidden/>
          </w:rPr>
          <w:tab/>
        </w:r>
        <w:r w:rsidR="0079431D">
          <w:rPr>
            <w:noProof/>
            <w:webHidden/>
          </w:rPr>
          <w:fldChar w:fldCharType="begin"/>
        </w:r>
        <w:r w:rsidR="0079431D">
          <w:rPr>
            <w:noProof/>
            <w:webHidden/>
          </w:rPr>
          <w:instrText xml:space="preserve"> PAGEREF _Toc513756844 \h </w:instrText>
        </w:r>
        <w:r w:rsidR="0079431D">
          <w:rPr>
            <w:noProof/>
            <w:webHidden/>
          </w:rPr>
        </w:r>
        <w:r w:rsidR="0079431D">
          <w:rPr>
            <w:noProof/>
            <w:webHidden/>
          </w:rPr>
          <w:fldChar w:fldCharType="separate"/>
        </w:r>
        <w:r w:rsidR="0079431D">
          <w:rPr>
            <w:noProof/>
            <w:webHidden/>
          </w:rPr>
          <w:t>12</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45" w:history="1">
        <w:r w:rsidR="0079431D" w:rsidRPr="003362F3">
          <w:rPr>
            <w:rStyle w:val="Hyperlink"/>
            <w:noProof/>
          </w:rPr>
          <w:t>Herkunft der Projekte</w:t>
        </w:r>
        <w:r w:rsidR="0079431D">
          <w:rPr>
            <w:noProof/>
            <w:webHidden/>
          </w:rPr>
          <w:tab/>
        </w:r>
        <w:r w:rsidR="0079431D">
          <w:rPr>
            <w:noProof/>
            <w:webHidden/>
          </w:rPr>
          <w:fldChar w:fldCharType="begin"/>
        </w:r>
        <w:r w:rsidR="0079431D">
          <w:rPr>
            <w:noProof/>
            <w:webHidden/>
          </w:rPr>
          <w:instrText xml:space="preserve"> PAGEREF _Toc513756845 \h </w:instrText>
        </w:r>
        <w:r w:rsidR="0079431D">
          <w:rPr>
            <w:noProof/>
            <w:webHidden/>
          </w:rPr>
        </w:r>
        <w:r w:rsidR="0079431D">
          <w:rPr>
            <w:noProof/>
            <w:webHidden/>
          </w:rPr>
          <w:fldChar w:fldCharType="separate"/>
        </w:r>
        <w:r w:rsidR="0079431D">
          <w:rPr>
            <w:noProof/>
            <w:webHidden/>
          </w:rPr>
          <w:t>13</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46" w:history="1">
        <w:r w:rsidR="0079431D" w:rsidRPr="003362F3">
          <w:rPr>
            <w:rStyle w:val="Hyperlink"/>
            <w:noProof/>
          </w:rPr>
          <w:t>Entwicklung der Projektmeldungen</w:t>
        </w:r>
        <w:r w:rsidR="0079431D">
          <w:rPr>
            <w:noProof/>
            <w:webHidden/>
          </w:rPr>
          <w:tab/>
        </w:r>
        <w:r w:rsidR="0079431D">
          <w:rPr>
            <w:noProof/>
            <w:webHidden/>
          </w:rPr>
          <w:fldChar w:fldCharType="begin"/>
        </w:r>
        <w:r w:rsidR="0079431D">
          <w:rPr>
            <w:noProof/>
            <w:webHidden/>
          </w:rPr>
          <w:instrText xml:space="preserve"> PAGEREF _Toc513756846 \h </w:instrText>
        </w:r>
        <w:r w:rsidR="0079431D">
          <w:rPr>
            <w:noProof/>
            <w:webHidden/>
          </w:rPr>
        </w:r>
        <w:r w:rsidR="0079431D">
          <w:rPr>
            <w:noProof/>
            <w:webHidden/>
          </w:rPr>
          <w:fldChar w:fldCharType="separate"/>
        </w:r>
        <w:r w:rsidR="0079431D">
          <w:rPr>
            <w:noProof/>
            <w:webHidden/>
          </w:rPr>
          <w:t>14</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47" w:history="1">
        <w:r w:rsidR="0079431D" w:rsidRPr="003362F3">
          <w:rPr>
            <w:rStyle w:val="Hyperlink"/>
            <w:noProof/>
          </w:rPr>
          <w:t>Qualität der Einmeldungen</w:t>
        </w:r>
        <w:r w:rsidR="0079431D">
          <w:rPr>
            <w:noProof/>
            <w:webHidden/>
          </w:rPr>
          <w:tab/>
        </w:r>
        <w:r w:rsidR="0079431D">
          <w:rPr>
            <w:noProof/>
            <w:webHidden/>
          </w:rPr>
          <w:fldChar w:fldCharType="begin"/>
        </w:r>
        <w:r w:rsidR="0079431D">
          <w:rPr>
            <w:noProof/>
            <w:webHidden/>
          </w:rPr>
          <w:instrText xml:space="preserve"> PAGEREF _Toc513756847 \h </w:instrText>
        </w:r>
        <w:r w:rsidR="0079431D">
          <w:rPr>
            <w:noProof/>
            <w:webHidden/>
          </w:rPr>
        </w:r>
        <w:r w:rsidR="0079431D">
          <w:rPr>
            <w:noProof/>
            <w:webHidden/>
          </w:rPr>
          <w:fldChar w:fldCharType="separate"/>
        </w:r>
        <w:r w:rsidR="0079431D">
          <w:rPr>
            <w:noProof/>
            <w:webHidden/>
          </w:rPr>
          <w:t>15</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48" w:history="1">
        <w:r w:rsidR="0079431D" w:rsidRPr="003362F3">
          <w:rPr>
            <w:rStyle w:val="Hyperlink"/>
            <w:noProof/>
          </w:rPr>
          <w:t>Information als Schutz</w:t>
        </w:r>
        <w:r w:rsidR="0079431D">
          <w:rPr>
            <w:noProof/>
            <w:webHidden/>
          </w:rPr>
          <w:tab/>
        </w:r>
        <w:r w:rsidR="0079431D">
          <w:rPr>
            <w:noProof/>
            <w:webHidden/>
          </w:rPr>
          <w:fldChar w:fldCharType="begin"/>
        </w:r>
        <w:r w:rsidR="0079431D">
          <w:rPr>
            <w:noProof/>
            <w:webHidden/>
          </w:rPr>
          <w:instrText xml:space="preserve"> PAGEREF _Toc513756848 \h </w:instrText>
        </w:r>
        <w:r w:rsidR="0079431D">
          <w:rPr>
            <w:noProof/>
            <w:webHidden/>
          </w:rPr>
        </w:r>
        <w:r w:rsidR="0079431D">
          <w:rPr>
            <w:noProof/>
            <w:webHidden/>
          </w:rPr>
          <w:fldChar w:fldCharType="separate"/>
        </w:r>
        <w:r w:rsidR="0079431D">
          <w:rPr>
            <w:noProof/>
            <w:webHidden/>
          </w:rPr>
          <w:t>16</w:t>
        </w:r>
        <w:r w:rsidR="0079431D">
          <w:rPr>
            <w:noProof/>
            <w:webHidden/>
          </w:rPr>
          <w:fldChar w:fldCharType="end"/>
        </w:r>
      </w:hyperlink>
    </w:p>
    <w:p w:rsidR="0079431D" w:rsidRDefault="00EE4F81">
      <w:pPr>
        <w:pStyle w:val="Verzeichnis3"/>
        <w:tabs>
          <w:tab w:val="right" w:leader="dot" w:pos="9060"/>
        </w:tabs>
        <w:rPr>
          <w:rFonts w:asciiTheme="minorHAnsi" w:eastAsiaTheme="minorEastAsia" w:hAnsiTheme="minorHAnsi" w:cstheme="minorBidi"/>
          <w:noProof/>
          <w:sz w:val="22"/>
          <w:szCs w:val="22"/>
          <w:lang w:val="de-AT" w:eastAsia="de-AT"/>
        </w:rPr>
      </w:pPr>
      <w:hyperlink w:anchor="_Toc513756849" w:history="1">
        <w:r w:rsidR="0079431D" w:rsidRPr="003362F3">
          <w:rPr>
            <w:rStyle w:val="Hyperlink"/>
            <w:noProof/>
          </w:rPr>
          <w:t>1. Angaben über den Emittenten</w:t>
        </w:r>
        <w:r w:rsidR="0079431D">
          <w:rPr>
            <w:noProof/>
            <w:webHidden/>
          </w:rPr>
          <w:tab/>
        </w:r>
        <w:r w:rsidR="0079431D">
          <w:rPr>
            <w:noProof/>
            <w:webHidden/>
          </w:rPr>
          <w:fldChar w:fldCharType="begin"/>
        </w:r>
        <w:r w:rsidR="0079431D">
          <w:rPr>
            <w:noProof/>
            <w:webHidden/>
          </w:rPr>
          <w:instrText xml:space="preserve"> PAGEREF _Toc513756849 \h </w:instrText>
        </w:r>
        <w:r w:rsidR="0079431D">
          <w:rPr>
            <w:noProof/>
            <w:webHidden/>
          </w:rPr>
        </w:r>
        <w:r w:rsidR="0079431D">
          <w:rPr>
            <w:noProof/>
            <w:webHidden/>
          </w:rPr>
          <w:fldChar w:fldCharType="separate"/>
        </w:r>
        <w:r w:rsidR="0079431D">
          <w:rPr>
            <w:noProof/>
            <w:webHidden/>
          </w:rPr>
          <w:t>17</w:t>
        </w:r>
        <w:r w:rsidR="0079431D">
          <w:rPr>
            <w:noProof/>
            <w:webHidden/>
          </w:rPr>
          <w:fldChar w:fldCharType="end"/>
        </w:r>
      </w:hyperlink>
    </w:p>
    <w:p w:rsidR="0079431D" w:rsidRDefault="00EE4F81">
      <w:pPr>
        <w:pStyle w:val="Verzeichnis3"/>
        <w:tabs>
          <w:tab w:val="right" w:leader="dot" w:pos="9060"/>
        </w:tabs>
        <w:rPr>
          <w:rFonts w:asciiTheme="minorHAnsi" w:eastAsiaTheme="minorEastAsia" w:hAnsiTheme="minorHAnsi" w:cstheme="minorBidi"/>
          <w:noProof/>
          <w:sz w:val="22"/>
          <w:szCs w:val="22"/>
          <w:lang w:val="de-AT" w:eastAsia="de-AT"/>
        </w:rPr>
      </w:pPr>
      <w:hyperlink w:anchor="_Toc513756850" w:history="1">
        <w:r w:rsidR="0079431D" w:rsidRPr="003362F3">
          <w:rPr>
            <w:rStyle w:val="Hyperlink"/>
            <w:noProof/>
          </w:rPr>
          <w:t>2. Angaben über das alternative Finanzinstrument</w:t>
        </w:r>
        <w:r w:rsidR="0079431D">
          <w:rPr>
            <w:noProof/>
            <w:webHidden/>
          </w:rPr>
          <w:tab/>
        </w:r>
        <w:r w:rsidR="0079431D">
          <w:rPr>
            <w:noProof/>
            <w:webHidden/>
          </w:rPr>
          <w:fldChar w:fldCharType="begin"/>
        </w:r>
        <w:r w:rsidR="0079431D">
          <w:rPr>
            <w:noProof/>
            <w:webHidden/>
          </w:rPr>
          <w:instrText xml:space="preserve"> PAGEREF _Toc513756850 \h </w:instrText>
        </w:r>
        <w:r w:rsidR="0079431D">
          <w:rPr>
            <w:noProof/>
            <w:webHidden/>
          </w:rPr>
        </w:r>
        <w:r w:rsidR="0079431D">
          <w:rPr>
            <w:noProof/>
            <w:webHidden/>
          </w:rPr>
          <w:fldChar w:fldCharType="separate"/>
        </w:r>
        <w:r w:rsidR="0079431D">
          <w:rPr>
            <w:noProof/>
            <w:webHidden/>
          </w:rPr>
          <w:t>18</w:t>
        </w:r>
        <w:r w:rsidR="0079431D">
          <w:rPr>
            <w:noProof/>
            <w:webHidden/>
          </w:rPr>
          <w:fldChar w:fldCharType="end"/>
        </w:r>
      </w:hyperlink>
    </w:p>
    <w:p w:rsidR="0079431D" w:rsidRDefault="00EE4F81">
      <w:pPr>
        <w:pStyle w:val="Verzeichnis3"/>
        <w:tabs>
          <w:tab w:val="right" w:leader="dot" w:pos="9060"/>
        </w:tabs>
        <w:rPr>
          <w:rFonts w:asciiTheme="minorHAnsi" w:eastAsiaTheme="minorEastAsia" w:hAnsiTheme="minorHAnsi" w:cstheme="minorBidi"/>
          <w:noProof/>
          <w:sz w:val="22"/>
          <w:szCs w:val="22"/>
          <w:lang w:val="de-AT" w:eastAsia="de-AT"/>
        </w:rPr>
      </w:pPr>
      <w:hyperlink w:anchor="_Toc513756851" w:history="1">
        <w:r w:rsidR="0079431D" w:rsidRPr="003362F3">
          <w:rPr>
            <w:rStyle w:val="Hyperlink"/>
            <w:noProof/>
          </w:rPr>
          <w:t>3. Sonstige Angaben und Hinweise</w:t>
        </w:r>
        <w:r w:rsidR="0079431D">
          <w:rPr>
            <w:noProof/>
            <w:webHidden/>
          </w:rPr>
          <w:tab/>
        </w:r>
        <w:r w:rsidR="0079431D">
          <w:rPr>
            <w:noProof/>
            <w:webHidden/>
          </w:rPr>
          <w:fldChar w:fldCharType="begin"/>
        </w:r>
        <w:r w:rsidR="0079431D">
          <w:rPr>
            <w:noProof/>
            <w:webHidden/>
          </w:rPr>
          <w:instrText xml:space="preserve"> PAGEREF _Toc513756851 \h </w:instrText>
        </w:r>
        <w:r w:rsidR="0079431D">
          <w:rPr>
            <w:noProof/>
            <w:webHidden/>
          </w:rPr>
        </w:r>
        <w:r w:rsidR="0079431D">
          <w:rPr>
            <w:noProof/>
            <w:webHidden/>
          </w:rPr>
          <w:fldChar w:fldCharType="separate"/>
        </w:r>
        <w:r w:rsidR="0079431D">
          <w:rPr>
            <w:noProof/>
            <w:webHidden/>
          </w:rPr>
          <w:t>19</w:t>
        </w:r>
        <w:r w:rsidR="0079431D">
          <w:rPr>
            <w:noProof/>
            <w:webHidden/>
          </w:rPr>
          <w:fldChar w:fldCharType="end"/>
        </w:r>
      </w:hyperlink>
    </w:p>
    <w:p w:rsidR="0079431D" w:rsidRDefault="00EE4F81">
      <w:pPr>
        <w:pStyle w:val="Verzeichnis3"/>
        <w:tabs>
          <w:tab w:val="right" w:leader="dot" w:pos="9060"/>
        </w:tabs>
        <w:rPr>
          <w:rFonts w:asciiTheme="minorHAnsi" w:eastAsiaTheme="minorEastAsia" w:hAnsiTheme="minorHAnsi" w:cstheme="minorBidi"/>
          <w:noProof/>
          <w:sz w:val="22"/>
          <w:szCs w:val="22"/>
          <w:lang w:val="de-AT" w:eastAsia="de-AT"/>
        </w:rPr>
      </w:pPr>
      <w:hyperlink w:anchor="_Toc513756852" w:history="1">
        <w:r w:rsidR="0079431D" w:rsidRPr="003362F3">
          <w:rPr>
            <w:rStyle w:val="Hyperlink"/>
            <w:noProof/>
          </w:rPr>
          <w:t>4. Risikohinweise</w:t>
        </w:r>
        <w:r w:rsidR="0079431D">
          <w:rPr>
            <w:noProof/>
            <w:webHidden/>
          </w:rPr>
          <w:tab/>
        </w:r>
        <w:r w:rsidR="0079431D">
          <w:rPr>
            <w:noProof/>
            <w:webHidden/>
          </w:rPr>
          <w:fldChar w:fldCharType="begin"/>
        </w:r>
        <w:r w:rsidR="0079431D">
          <w:rPr>
            <w:noProof/>
            <w:webHidden/>
          </w:rPr>
          <w:instrText xml:space="preserve"> PAGEREF _Toc513756852 \h </w:instrText>
        </w:r>
        <w:r w:rsidR="0079431D">
          <w:rPr>
            <w:noProof/>
            <w:webHidden/>
          </w:rPr>
        </w:r>
        <w:r w:rsidR="0079431D">
          <w:rPr>
            <w:noProof/>
            <w:webHidden/>
          </w:rPr>
          <w:fldChar w:fldCharType="separate"/>
        </w:r>
        <w:r w:rsidR="0079431D">
          <w:rPr>
            <w:noProof/>
            <w:webHidden/>
          </w:rPr>
          <w:t>19</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53" w:history="1">
        <w:r w:rsidR="0079431D" w:rsidRPr="003362F3">
          <w:rPr>
            <w:rStyle w:val="Hyperlink"/>
            <w:noProof/>
          </w:rPr>
          <w:t>Volumina</w:t>
        </w:r>
        <w:r w:rsidR="0079431D">
          <w:rPr>
            <w:noProof/>
            <w:webHidden/>
          </w:rPr>
          <w:tab/>
        </w:r>
        <w:r w:rsidR="0079431D">
          <w:rPr>
            <w:noProof/>
            <w:webHidden/>
          </w:rPr>
          <w:fldChar w:fldCharType="begin"/>
        </w:r>
        <w:r w:rsidR="0079431D">
          <w:rPr>
            <w:noProof/>
            <w:webHidden/>
          </w:rPr>
          <w:instrText xml:space="preserve"> PAGEREF _Toc513756853 \h </w:instrText>
        </w:r>
        <w:r w:rsidR="0079431D">
          <w:rPr>
            <w:noProof/>
            <w:webHidden/>
          </w:rPr>
        </w:r>
        <w:r w:rsidR="0079431D">
          <w:rPr>
            <w:noProof/>
            <w:webHidden/>
          </w:rPr>
          <w:fldChar w:fldCharType="separate"/>
        </w:r>
        <w:r w:rsidR="0079431D">
          <w:rPr>
            <w:noProof/>
            <w:webHidden/>
          </w:rPr>
          <w:t>21</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54" w:history="1">
        <w:r w:rsidR="0079431D" w:rsidRPr="003362F3">
          <w:rPr>
            <w:rStyle w:val="Hyperlink"/>
            <w:noProof/>
          </w:rPr>
          <w:t>Plattformen</w:t>
        </w:r>
        <w:r w:rsidR="0079431D">
          <w:rPr>
            <w:noProof/>
            <w:webHidden/>
          </w:rPr>
          <w:tab/>
        </w:r>
        <w:r w:rsidR="0079431D">
          <w:rPr>
            <w:noProof/>
            <w:webHidden/>
          </w:rPr>
          <w:fldChar w:fldCharType="begin"/>
        </w:r>
        <w:r w:rsidR="0079431D">
          <w:rPr>
            <w:noProof/>
            <w:webHidden/>
          </w:rPr>
          <w:instrText xml:space="preserve"> PAGEREF _Toc513756854 \h </w:instrText>
        </w:r>
        <w:r w:rsidR="0079431D">
          <w:rPr>
            <w:noProof/>
            <w:webHidden/>
          </w:rPr>
        </w:r>
        <w:r w:rsidR="0079431D">
          <w:rPr>
            <w:noProof/>
            <w:webHidden/>
          </w:rPr>
          <w:fldChar w:fldCharType="separate"/>
        </w:r>
        <w:r w:rsidR="0079431D">
          <w:rPr>
            <w:noProof/>
            <w:webHidden/>
          </w:rPr>
          <w:t>22</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55" w:history="1">
        <w:r w:rsidR="0079431D" w:rsidRPr="003362F3">
          <w:rPr>
            <w:rStyle w:val="Hyperlink"/>
            <w:noProof/>
          </w:rPr>
          <w:t>Verzinsung</w:t>
        </w:r>
        <w:r w:rsidR="0079431D">
          <w:rPr>
            <w:noProof/>
            <w:webHidden/>
          </w:rPr>
          <w:tab/>
        </w:r>
        <w:r w:rsidR="0079431D">
          <w:rPr>
            <w:noProof/>
            <w:webHidden/>
          </w:rPr>
          <w:fldChar w:fldCharType="begin"/>
        </w:r>
        <w:r w:rsidR="0079431D">
          <w:rPr>
            <w:noProof/>
            <w:webHidden/>
          </w:rPr>
          <w:instrText xml:space="preserve"> PAGEREF _Toc513756855 \h </w:instrText>
        </w:r>
        <w:r w:rsidR="0079431D">
          <w:rPr>
            <w:noProof/>
            <w:webHidden/>
          </w:rPr>
        </w:r>
        <w:r w:rsidR="0079431D">
          <w:rPr>
            <w:noProof/>
            <w:webHidden/>
          </w:rPr>
          <w:fldChar w:fldCharType="separate"/>
        </w:r>
        <w:r w:rsidR="0079431D">
          <w:rPr>
            <w:noProof/>
            <w:webHidden/>
          </w:rPr>
          <w:t>25</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56" w:history="1">
        <w:r w:rsidR="0079431D" w:rsidRPr="003362F3">
          <w:rPr>
            <w:rStyle w:val="Hyperlink"/>
            <w:noProof/>
          </w:rPr>
          <w:t>Immobilienunternehmen</w:t>
        </w:r>
        <w:r w:rsidR="0079431D">
          <w:rPr>
            <w:noProof/>
            <w:webHidden/>
          </w:rPr>
          <w:tab/>
        </w:r>
        <w:r w:rsidR="0079431D">
          <w:rPr>
            <w:noProof/>
            <w:webHidden/>
          </w:rPr>
          <w:fldChar w:fldCharType="begin"/>
        </w:r>
        <w:r w:rsidR="0079431D">
          <w:rPr>
            <w:noProof/>
            <w:webHidden/>
          </w:rPr>
          <w:instrText xml:space="preserve"> PAGEREF _Toc513756856 \h </w:instrText>
        </w:r>
        <w:r w:rsidR="0079431D">
          <w:rPr>
            <w:noProof/>
            <w:webHidden/>
          </w:rPr>
        </w:r>
        <w:r w:rsidR="0079431D">
          <w:rPr>
            <w:noProof/>
            <w:webHidden/>
          </w:rPr>
          <w:fldChar w:fldCharType="separate"/>
        </w:r>
        <w:r w:rsidR="0079431D">
          <w:rPr>
            <w:noProof/>
            <w:webHidden/>
          </w:rPr>
          <w:t>25</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57" w:history="1">
        <w:r w:rsidR="0079431D" w:rsidRPr="003362F3">
          <w:rPr>
            <w:rStyle w:val="Hyperlink"/>
            <w:noProof/>
          </w:rPr>
          <w:t>Startups</w:t>
        </w:r>
        <w:r w:rsidR="0079431D">
          <w:rPr>
            <w:noProof/>
            <w:webHidden/>
          </w:rPr>
          <w:tab/>
        </w:r>
        <w:r w:rsidR="0079431D">
          <w:rPr>
            <w:noProof/>
            <w:webHidden/>
          </w:rPr>
          <w:fldChar w:fldCharType="begin"/>
        </w:r>
        <w:r w:rsidR="0079431D">
          <w:rPr>
            <w:noProof/>
            <w:webHidden/>
          </w:rPr>
          <w:instrText xml:space="preserve"> PAGEREF _Toc513756857 \h </w:instrText>
        </w:r>
        <w:r w:rsidR="0079431D">
          <w:rPr>
            <w:noProof/>
            <w:webHidden/>
          </w:rPr>
        </w:r>
        <w:r w:rsidR="0079431D">
          <w:rPr>
            <w:noProof/>
            <w:webHidden/>
          </w:rPr>
          <w:fldChar w:fldCharType="separate"/>
        </w:r>
        <w:r w:rsidR="0079431D">
          <w:rPr>
            <w:noProof/>
            <w:webHidden/>
          </w:rPr>
          <w:t>26</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58" w:history="1">
        <w:r w:rsidR="0079431D" w:rsidRPr="003362F3">
          <w:rPr>
            <w:rStyle w:val="Hyperlink"/>
            <w:noProof/>
          </w:rPr>
          <w:t>KMU</w:t>
        </w:r>
        <w:r w:rsidR="0079431D">
          <w:rPr>
            <w:noProof/>
            <w:webHidden/>
          </w:rPr>
          <w:tab/>
        </w:r>
        <w:r w:rsidR="0079431D">
          <w:rPr>
            <w:noProof/>
            <w:webHidden/>
          </w:rPr>
          <w:fldChar w:fldCharType="begin"/>
        </w:r>
        <w:r w:rsidR="0079431D">
          <w:rPr>
            <w:noProof/>
            <w:webHidden/>
          </w:rPr>
          <w:instrText xml:space="preserve"> PAGEREF _Toc513756858 \h </w:instrText>
        </w:r>
        <w:r w:rsidR="0079431D">
          <w:rPr>
            <w:noProof/>
            <w:webHidden/>
          </w:rPr>
        </w:r>
        <w:r w:rsidR="0079431D">
          <w:rPr>
            <w:noProof/>
            <w:webHidden/>
          </w:rPr>
          <w:fldChar w:fldCharType="separate"/>
        </w:r>
        <w:r w:rsidR="0079431D">
          <w:rPr>
            <w:noProof/>
            <w:webHidden/>
          </w:rPr>
          <w:t>26</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59" w:history="1">
        <w:r w:rsidR="0079431D" w:rsidRPr="003362F3">
          <w:rPr>
            <w:rStyle w:val="Hyperlink"/>
            <w:noProof/>
          </w:rPr>
          <w:t>Erfolgsbeteiligung</w:t>
        </w:r>
        <w:r w:rsidR="0079431D">
          <w:rPr>
            <w:noProof/>
            <w:webHidden/>
          </w:rPr>
          <w:tab/>
        </w:r>
        <w:r w:rsidR="0079431D">
          <w:rPr>
            <w:noProof/>
            <w:webHidden/>
          </w:rPr>
          <w:fldChar w:fldCharType="begin"/>
        </w:r>
        <w:r w:rsidR="0079431D">
          <w:rPr>
            <w:noProof/>
            <w:webHidden/>
          </w:rPr>
          <w:instrText xml:space="preserve"> PAGEREF _Toc513756859 \h </w:instrText>
        </w:r>
        <w:r w:rsidR="0079431D">
          <w:rPr>
            <w:noProof/>
            <w:webHidden/>
          </w:rPr>
        </w:r>
        <w:r w:rsidR="0079431D">
          <w:rPr>
            <w:noProof/>
            <w:webHidden/>
          </w:rPr>
          <w:fldChar w:fldCharType="separate"/>
        </w:r>
        <w:r w:rsidR="0079431D">
          <w:rPr>
            <w:noProof/>
            <w:webHidden/>
          </w:rPr>
          <w:t>27</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60" w:history="1">
        <w:r w:rsidR="0079431D" w:rsidRPr="003362F3">
          <w:rPr>
            <w:rStyle w:val="Hyperlink"/>
            <w:noProof/>
          </w:rPr>
          <w:t>Mittelverwendung</w:t>
        </w:r>
        <w:r w:rsidR="0079431D">
          <w:rPr>
            <w:noProof/>
            <w:webHidden/>
          </w:rPr>
          <w:tab/>
        </w:r>
        <w:r w:rsidR="0079431D">
          <w:rPr>
            <w:noProof/>
            <w:webHidden/>
          </w:rPr>
          <w:fldChar w:fldCharType="begin"/>
        </w:r>
        <w:r w:rsidR="0079431D">
          <w:rPr>
            <w:noProof/>
            <w:webHidden/>
          </w:rPr>
          <w:instrText xml:space="preserve"> PAGEREF _Toc513756860 \h </w:instrText>
        </w:r>
        <w:r w:rsidR="0079431D">
          <w:rPr>
            <w:noProof/>
            <w:webHidden/>
          </w:rPr>
        </w:r>
        <w:r w:rsidR="0079431D">
          <w:rPr>
            <w:noProof/>
            <w:webHidden/>
          </w:rPr>
          <w:fldChar w:fldCharType="separate"/>
        </w:r>
        <w:r w:rsidR="0079431D">
          <w:rPr>
            <w:noProof/>
            <w:webHidden/>
          </w:rPr>
          <w:t>32</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61" w:history="1">
        <w:r w:rsidR="0079431D" w:rsidRPr="003362F3">
          <w:rPr>
            <w:rStyle w:val="Hyperlink"/>
            <w:noProof/>
          </w:rPr>
          <w:t>Bilanzielle Angaben</w:t>
        </w:r>
        <w:r w:rsidR="0079431D">
          <w:rPr>
            <w:noProof/>
            <w:webHidden/>
          </w:rPr>
          <w:tab/>
        </w:r>
        <w:r w:rsidR="0079431D">
          <w:rPr>
            <w:noProof/>
            <w:webHidden/>
          </w:rPr>
          <w:fldChar w:fldCharType="begin"/>
        </w:r>
        <w:r w:rsidR="0079431D">
          <w:rPr>
            <w:noProof/>
            <w:webHidden/>
          </w:rPr>
          <w:instrText xml:space="preserve"> PAGEREF _Toc513756861 \h </w:instrText>
        </w:r>
        <w:r w:rsidR="0079431D">
          <w:rPr>
            <w:noProof/>
            <w:webHidden/>
          </w:rPr>
        </w:r>
        <w:r w:rsidR="0079431D">
          <w:rPr>
            <w:noProof/>
            <w:webHidden/>
          </w:rPr>
          <w:fldChar w:fldCharType="separate"/>
        </w:r>
        <w:r w:rsidR="0079431D">
          <w:rPr>
            <w:noProof/>
            <w:webHidden/>
          </w:rPr>
          <w:t>33</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62" w:history="1">
        <w:r w:rsidR="0079431D" w:rsidRPr="003362F3">
          <w:rPr>
            <w:rStyle w:val="Hyperlink"/>
            <w:noProof/>
          </w:rPr>
          <w:t>Bilanzergebnis</w:t>
        </w:r>
        <w:r w:rsidR="0079431D">
          <w:rPr>
            <w:noProof/>
            <w:webHidden/>
          </w:rPr>
          <w:tab/>
        </w:r>
        <w:r w:rsidR="0079431D">
          <w:rPr>
            <w:noProof/>
            <w:webHidden/>
          </w:rPr>
          <w:fldChar w:fldCharType="begin"/>
        </w:r>
        <w:r w:rsidR="0079431D">
          <w:rPr>
            <w:noProof/>
            <w:webHidden/>
          </w:rPr>
          <w:instrText xml:space="preserve"> PAGEREF _Toc513756862 \h </w:instrText>
        </w:r>
        <w:r w:rsidR="0079431D">
          <w:rPr>
            <w:noProof/>
            <w:webHidden/>
          </w:rPr>
        </w:r>
        <w:r w:rsidR="0079431D">
          <w:rPr>
            <w:noProof/>
            <w:webHidden/>
          </w:rPr>
          <w:fldChar w:fldCharType="separate"/>
        </w:r>
        <w:r w:rsidR="0079431D">
          <w:rPr>
            <w:noProof/>
            <w:webHidden/>
          </w:rPr>
          <w:t>33</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63" w:history="1">
        <w:r w:rsidR="0079431D" w:rsidRPr="003362F3">
          <w:rPr>
            <w:rStyle w:val="Hyperlink"/>
            <w:noProof/>
          </w:rPr>
          <w:t>Kapitalausstattung</w:t>
        </w:r>
        <w:r w:rsidR="0079431D">
          <w:rPr>
            <w:noProof/>
            <w:webHidden/>
          </w:rPr>
          <w:tab/>
        </w:r>
        <w:r w:rsidR="0079431D">
          <w:rPr>
            <w:noProof/>
            <w:webHidden/>
          </w:rPr>
          <w:fldChar w:fldCharType="begin"/>
        </w:r>
        <w:r w:rsidR="0079431D">
          <w:rPr>
            <w:noProof/>
            <w:webHidden/>
          </w:rPr>
          <w:instrText xml:space="preserve"> PAGEREF _Toc513756863 \h </w:instrText>
        </w:r>
        <w:r w:rsidR="0079431D">
          <w:rPr>
            <w:noProof/>
            <w:webHidden/>
          </w:rPr>
        </w:r>
        <w:r w:rsidR="0079431D">
          <w:rPr>
            <w:noProof/>
            <w:webHidden/>
          </w:rPr>
          <w:fldChar w:fldCharType="separate"/>
        </w:r>
        <w:r w:rsidR="0079431D">
          <w:rPr>
            <w:noProof/>
            <w:webHidden/>
          </w:rPr>
          <w:t>33</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64" w:history="1">
        <w:r w:rsidR="0079431D" w:rsidRPr="003362F3">
          <w:rPr>
            <w:rStyle w:val="Hyperlink"/>
            <w:noProof/>
          </w:rPr>
          <w:t>Vermögensgegenstände</w:t>
        </w:r>
        <w:r w:rsidR="0079431D">
          <w:rPr>
            <w:noProof/>
            <w:webHidden/>
          </w:rPr>
          <w:tab/>
        </w:r>
        <w:r w:rsidR="0079431D">
          <w:rPr>
            <w:noProof/>
            <w:webHidden/>
          </w:rPr>
          <w:fldChar w:fldCharType="begin"/>
        </w:r>
        <w:r w:rsidR="0079431D">
          <w:rPr>
            <w:noProof/>
            <w:webHidden/>
          </w:rPr>
          <w:instrText xml:space="preserve"> PAGEREF _Toc513756864 \h </w:instrText>
        </w:r>
        <w:r w:rsidR="0079431D">
          <w:rPr>
            <w:noProof/>
            <w:webHidden/>
          </w:rPr>
        </w:r>
        <w:r w:rsidR="0079431D">
          <w:rPr>
            <w:noProof/>
            <w:webHidden/>
          </w:rPr>
          <w:fldChar w:fldCharType="separate"/>
        </w:r>
        <w:r w:rsidR="0079431D">
          <w:rPr>
            <w:noProof/>
            <w:webHidden/>
          </w:rPr>
          <w:t>34</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65" w:history="1">
        <w:r w:rsidR="0079431D" w:rsidRPr="003362F3">
          <w:rPr>
            <w:rStyle w:val="Hyperlink"/>
            <w:noProof/>
          </w:rPr>
          <w:t>Prognosen</w:t>
        </w:r>
        <w:r w:rsidR="0079431D">
          <w:rPr>
            <w:noProof/>
            <w:webHidden/>
          </w:rPr>
          <w:tab/>
        </w:r>
        <w:r w:rsidR="0079431D">
          <w:rPr>
            <w:noProof/>
            <w:webHidden/>
          </w:rPr>
          <w:fldChar w:fldCharType="begin"/>
        </w:r>
        <w:r w:rsidR="0079431D">
          <w:rPr>
            <w:noProof/>
            <w:webHidden/>
          </w:rPr>
          <w:instrText xml:space="preserve"> PAGEREF _Toc513756865 \h </w:instrText>
        </w:r>
        <w:r w:rsidR="0079431D">
          <w:rPr>
            <w:noProof/>
            <w:webHidden/>
          </w:rPr>
        </w:r>
        <w:r w:rsidR="0079431D">
          <w:rPr>
            <w:noProof/>
            <w:webHidden/>
          </w:rPr>
          <w:fldChar w:fldCharType="separate"/>
        </w:r>
        <w:r w:rsidR="0079431D">
          <w:rPr>
            <w:noProof/>
            <w:webHidden/>
          </w:rPr>
          <w:t>35</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66" w:history="1">
        <w:r w:rsidR="0079431D" w:rsidRPr="003362F3">
          <w:rPr>
            <w:rStyle w:val="Hyperlink"/>
            <w:noProof/>
          </w:rPr>
          <w:t>Startups</w:t>
        </w:r>
        <w:r w:rsidR="0079431D">
          <w:rPr>
            <w:noProof/>
            <w:webHidden/>
          </w:rPr>
          <w:tab/>
        </w:r>
        <w:r w:rsidR="0079431D">
          <w:rPr>
            <w:noProof/>
            <w:webHidden/>
          </w:rPr>
          <w:fldChar w:fldCharType="begin"/>
        </w:r>
        <w:r w:rsidR="0079431D">
          <w:rPr>
            <w:noProof/>
            <w:webHidden/>
          </w:rPr>
          <w:instrText xml:space="preserve"> PAGEREF _Toc513756866 \h </w:instrText>
        </w:r>
        <w:r w:rsidR="0079431D">
          <w:rPr>
            <w:noProof/>
            <w:webHidden/>
          </w:rPr>
        </w:r>
        <w:r w:rsidR="0079431D">
          <w:rPr>
            <w:noProof/>
            <w:webHidden/>
          </w:rPr>
          <w:fldChar w:fldCharType="separate"/>
        </w:r>
        <w:r w:rsidR="0079431D">
          <w:rPr>
            <w:noProof/>
            <w:webHidden/>
          </w:rPr>
          <w:t>36</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67" w:history="1">
        <w:r w:rsidR="0079431D" w:rsidRPr="003362F3">
          <w:rPr>
            <w:rStyle w:val="Hyperlink"/>
            <w:noProof/>
          </w:rPr>
          <w:t>KMU</w:t>
        </w:r>
        <w:r w:rsidR="0079431D">
          <w:rPr>
            <w:noProof/>
            <w:webHidden/>
          </w:rPr>
          <w:tab/>
        </w:r>
        <w:r w:rsidR="0079431D">
          <w:rPr>
            <w:noProof/>
            <w:webHidden/>
          </w:rPr>
          <w:fldChar w:fldCharType="begin"/>
        </w:r>
        <w:r w:rsidR="0079431D">
          <w:rPr>
            <w:noProof/>
            <w:webHidden/>
          </w:rPr>
          <w:instrText xml:space="preserve"> PAGEREF _Toc513756867 \h </w:instrText>
        </w:r>
        <w:r w:rsidR="0079431D">
          <w:rPr>
            <w:noProof/>
            <w:webHidden/>
          </w:rPr>
        </w:r>
        <w:r w:rsidR="0079431D">
          <w:rPr>
            <w:noProof/>
            <w:webHidden/>
          </w:rPr>
          <w:fldChar w:fldCharType="separate"/>
        </w:r>
        <w:r w:rsidR="0079431D">
          <w:rPr>
            <w:noProof/>
            <w:webHidden/>
          </w:rPr>
          <w:t>39</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68" w:history="1">
        <w:r w:rsidR="0079431D" w:rsidRPr="003362F3">
          <w:rPr>
            <w:rStyle w:val="Hyperlink"/>
            <w:noProof/>
          </w:rPr>
          <w:t>Immobilien</w:t>
        </w:r>
        <w:r w:rsidR="0079431D">
          <w:rPr>
            <w:noProof/>
            <w:webHidden/>
          </w:rPr>
          <w:tab/>
        </w:r>
        <w:r w:rsidR="0079431D">
          <w:rPr>
            <w:noProof/>
            <w:webHidden/>
          </w:rPr>
          <w:fldChar w:fldCharType="begin"/>
        </w:r>
        <w:r w:rsidR="0079431D">
          <w:rPr>
            <w:noProof/>
            <w:webHidden/>
          </w:rPr>
          <w:instrText xml:space="preserve"> PAGEREF _Toc513756868 \h </w:instrText>
        </w:r>
        <w:r w:rsidR="0079431D">
          <w:rPr>
            <w:noProof/>
            <w:webHidden/>
          </w:rPr>
        </w:r>
        <w:r w:rsidR="0079431D">
          <w:rPr>
            <w:noProof/>
            <w:webHidden/>
          </w:rPr>
          <w:fldChar w:fldCharType="separate"/>
        </w:r>
        <w:r w:rsidR="0079431D">
          <w:rPr>
            <w:noProof/>
            <w:webHidden/>
          </w:rPr>
          <w:t>40</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69" w:history="1">
        <w:r w:rsidR="0079431D" w:rsidRPr="003362F3">
          <w:rPr>
            <w:rStyle w:val="Hyperlink"/>
            <w:noProof/>
          </w:rPr>
          <w:t>Kosten</w:t>
        </w:r>
        <w:r w:rsidR="0079431D">
          <w:rPr>
            <w:noProof/>
            <w:webHidden/>
          </w:rPr>
          <w:tab/>
        </w:r>
        <w:r w:rsidR="0079431D">
          <w:rPr>
            <w:noProof/>
            <w:webHidden/>
          </w:rPr>
          <w:fldChar w:fldCharType="begin"/>
        </w:r>
        <w:r w:rsidR="0079431D">
          <w:rPr>
            <w:noProof/>
            <w:webHidden/>
          </w:rPr>
          <w:instrText xml:space="preserve"> PAGEREF _Toc513756869 \h </w:instrText>
        </w:r>
        <w:r w:rsidR="0079431D">
          <w:rPr>
            <w:noProof/>
            <w:webHidden/>
          </w:rPr>
        </w:r>
        <w:r w:rsidR="0079431D">
          <w:rPr>
            <w:noProof/>
            <w:webHidden/>
          </w:rPr>
          <w:fldChar w:fldCharType="separate"/>
        </w:r>
        <w:r w:rsidR="0079431D">
          <w:rPr>
            <w:noProof/>
            <w:webHidden/>
          </w:rPr>
          <w:t>42</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70" w:history="1">
        <w:r w:rsidR="0079431D" w:rsidRPr="003362F3">
          <w:rPr>
            <w:rStyle w:val="Hyperlink"/>
            <w:noProof/>
          </w:rPr>
          <w:t>Einmalige Kosten bei der Platzierung</w:t>
        </w:r>
        <w:r w:rsidR="0079431D">
          <w:rPr>
            <w:noProof/>
            <w:webHidden/>
          </w:rPr>
          <w:tab/>
        </w:r>
        <w:r w:rsidR="0079431D">
          <w:rPr>
            <w:noProof/>
            <w:webHidden/>
          </w:rPr>
          <w:fldChar w:fldCharType="begin"/>
        </w:r>
        <w:r w:rsidR="0079431D">
          <w:rPr>
            <w:noProof/>
            <w:webHidden/>
          </w:rPr>
          <w:instrText xml:space="preserve"> PAGEREF _Toc513756870 \h </w:instrText>
        </w:r>
        <w:r w:rsidR="0079431D">
          <w:rPr>
            <w:noProof/>
            <w:webHidden/>
          </w:rPr>
        </w:r>
        <w:r w:rsidR="0079431D">
          <w:rPr>
            <w:noProof/>
            <w:webHidden/>
          </w:rPr>
          <w:fldChar w:fldCharType="separate"/>
        </w:r>
        <w:r w:rsidR="0079431D">
          <w:rPr>
            <w:noProof/>
            <w:webHidden/>
          </w:rPr>
          <w:t>42</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71" w:history="1">
        <w:r w:rsidR="0079431D" w:rsidRPr="003362F3">
          <w:rPr>
            <w:rStyle w:val="Hyperlink"/>
            <w:noProof/>
          </w:rPr>
          <w:t>Laufende Verwaltungskosten</w:t>
        </w:r>
        <w:r w:rsidR="0079431D">
          <w:rPr>
            <w:noProof/>
            <w:webHidden/>
          </w:rPr>
          <w:tab/>
        </w:r>
        <w:r w:rsidR="0079431D">
          <w:rPr>
            <w:noProof/>
            <w:webHidden/>
          </w:rPr>
          <w:fldChar w:fldCharType="begin"/>
        </w:r>
        <w:r w:rsidR="0079431D">
          <w:rPr>
            <w:noProof/>
            <w:webHidden/>
          </w:rPr>
          <w:instrText xml:space="preserve"> PAGEREF _Toc513756871 \h </w:instrText>
        </w:r>
        <w:r w:rsidR="0079431D">
          <w:rPr>
            <w:noProof/>
            <w:webHidden/>
          </w:rPr>
        </w:r>
        <w:r w:rsidR="0079431D">
          <w:rPr>
            <w:noProof/>
            <w:webHidden/>
          </w:rPr>
          <w:fldChar w:fldCharType="separate"/>
        </w:r>
        <w:r w:rsidR="0079431D">
          <w:rPr>
            <w:noProof/>
            <w:webHidden/>
          </w:rPr>
          <w:t>42</w:t>
        </w:r>
        <w:r w:rsidR="0079431D">
          <w:rPr>
            <w:noProof/>
            <w:webHidden/>
          </w:rPr>
          <w:fldChar w:fldCharType="end"/>
        </w:r>
      </w:hyperlink>
    </w:p>
    <w:p w:rsidR="0079431D" w:rsidRDefault="00EE4F81">
      <w:pPr>
        <w:pStyle w:val="Verzeichnis2"/>
        <w:tabs>
          <w:tab w:val="right" w:leader="dot" w:pos="9060"/>
        </w:tabs>
        <w:rPr>
          <w:rFonts w:asciiTheme="minorHAnsi" w:eastAsiaTheme="minorEastAsia" w:hAnsiTheme="minorHAnsi" w:cstheme="minorBidi"/>
          <w:noProof/>
          <w:sz w:val="22"/>
          <w:szCs w:val="22"/>
          <w:lang w:val="de-AT" w:eastAsia="de-AT"/>
        </w:rPr>
      </w:pPr>
      <w:hyperlink w:anchor="_Toc513756872" w:history="1">
        <w:r w:rsidR="0079431D" w:rsidRPr="003362F3">
          <w:rPr>
            <w:rStyle w:val="Hyperlink"/>
            <w:noProof/>
          </w:rPr>
          <w:t>Abrechnungs- bzw. Gewinnbeteiligungsmodelle</w:t>
        </w:r>
        <w:r w:rsidR="0079431D">
          <w:rPr>
            <w:noProof/>
            <w:webHidden/>
          </w:rPr>
          <w:tab/>
        </w:r>
        <w:r w:rsidR="0079431D">
          <w:rPr>
            <w:noProof/>
            <w:webHidden/>
          </w:rPr>
          <w:fldChar w:fldCharType="begin"/>
        </w:r>
        <w:r w:rsidR="0079431D">
          <w:rPr>
            <w:noProof/>
            <w:webHidden/>
          </w:rPr>
          <w:instrText xml:space="preserve"> PAGEREF _Toc513756872 \h </w:instrText>
        </w:r>
        <w:r w:rsidR="0079431D">
          <w:rPr>
            <w:noProof/>
            <w:webHidden/>
          </w:rPr>
        </w:r>
        <w:r w:rsidR="0079431D">
          <w:rPr>
            <w:noProof/>
            <w:webHidden/>
          </w:rPr>
          <w:fldChar w:fldCharType="separate"/>
        </w:r>
        <w:r w:rsidR="0079431D">
          <w:rPr>
            <w:noProof/>
            <w:webHidden/>
          </w:rPr>
          <w:t>43</w:t>
        </w:r>
        <w:r w:rsidR="0079431D">
          <w:rPr>
            <w:noProof/>
            <w:webHidden/>
          </w:rPr>
          <w:fldChar w:fldCharType="end"/>
        </w:r>
      </w:hyperlink>
    </w:p>
    <w:p w:rsidR="0079431D" w:rsidRDefault="00EE4F81">
      <w:pPr>
        <w:pStyle w:val="Verzeichnis1"/>
        <w:tabs>
          <w:tab w:val="right" w:leader="dot" w:pos="9060"/>
        </w:tabs>
        <w:rPr>
          <w:rFonts w:asciiTheme="minorHAnsi" w:eastAsiaTheme="minorEastAsia" w:hAnsiTheme="minorHAnsi" w:cstheme="minorBidi"/>
          <w:noProof/>
          <w:sz w:val="22"/>
          <w:szCs w:val="22"/>
          <w:lang w:val="de-AT" w:eastAsia="de-AT"/>
        </w:rPr>
      </w:pPr>
      <w:hyperlink w:anchor="_Toc513756873" w:history="1">
        <w:r w:rsidR="0079431D" w:rsidRPr="003362F3">
          <w:rPr>
            <w:rStyle w:val="Hyperlink"/>
            <w:noProof/>
          </w:rPr>
          <w:t>Anhang: Projekte</w:t>
        </w:r>
        <w:r w:rsidR="0079431D">
          <w:rPr>
            <w:noProof/>
            <w:webHidden/>
          </w:rPr>
          <w:tab/>
        </w:r>
        <w:r w:rsidR="0079431D">
          <w:rPr>
            <w:noProof/>
            <w:webHidden/>
          </w:rPr>
          <w:fldChar w:fldCharType="begin"/>
        </w:r>
        <w:r w:rsidR="0079431D">
          <w:rPr>
            <w:noProof/>
            <w:webHidden/>
          </w:rPr>
          <w:instrText xml:space="preserve"> PAGEREF _Toc513756873 \h </w:instrText>
        </w:r>
        <w:r w:rsidR="0079431D">
          <w:rPr>
            <w:noProof/>
            <w:webHidden/>
          </w:rPr>
        </w:r>
        <w:r w:rsidR="0079431D">
          <w:rPr>
            <w:noProof/>
            <w:webHidden/>
          </w:rPr>
          <w:fldChar w:fldCharType="separate"/>
        </w:r>
        <w:r w:rsidR="0079431D">
          <w:rPr>
            <w:noProof/>
            <w:webHidden/>
          </w:rPr>
          <w:t>45</w:t>
        </w:r>
        <w:r w:rsidR="0079431D">
          <w:rPr>
            <w:noProof/>
            <w:webHidden/>
          </w:rPr>
          <w:fldChar w:fldCharType="end"/>
        </w:r>
      </w:hyperlink>
    </w:p>
    <w:p w:rsidR="00CF1053" w:rsidRPr="00674790" w:rsidRDefault="00C42C38" w:rsidP="002000F4">
      <w:pPr>
        <w:spacing w:line="360" w:lineRule="auto"/>
        <w:rPr>
          <w:rFonts w:cs="Arial"/>
          <w:lang w:eastAsia="en-US"/>
        </w:rPr>
      </w:pPr>
      <w:r w:rsidRPr="00674790">
        <w:rPr>
          <w:rFonts w:cs="Arial"/>
          <w:lang w:eastAsia="en-US"/>
        </w:rPr>
        <w:fldChar w:fldCharType="end"/>
      </w:r>
    </w:p>
    <w:p w:rsidR="00492154" w:rsidRPr="00674790" w:rsidRDefault="00736474" w:rsidP="00BD1BEF">
      <w:pPr>
        <w:pStyle w:val="berschrift1"/>
        <w:tabs>
          <w:tab w:val="left" w:pos="1134"/>
          <w:tab w:val="left" w:pos="4111"/>
          <w:tab w:val="left" w:pos="5529"/>
          <w:tab w:val="left" w:pos="7797"/>
        </w:tabs>
        <w:spacing w:before="120"/>
        <w:ind w:left="283" w:hanging="340"/>
      </w:pPr>
      <w:r w:rsidRPr="00674790">
        <w:br w:type="page"/>
      </w:r>
    </w:p>
    <w:p w:rsidR="00492154" w:rsidRPr="00674790" w:rsidRDefault="00492154" w:rsidP="00BD1BEF">
      <w:pPr>
        <w:pStyle w:val="berschrift1"/>
        <w:tabs>
          <w:tab w:val="left" w:pos="1134"/>
          <w:tab w:val="left" w:pos="4111"/>
          <w:tab w:val="left" w:pos="5529"/>
          <w:tab w:val="left" w:pos="7797"/>
        </w:tabs>
        <w:spacing w:before="120"/>
        <w:ind w:left="283" w:hanging="340"/>
      </w:pPr>
      <w:bookmarkStart w:id="1" w:name="_Toc513756834"/>
      <w:r w:rsidRPr="00674790">
        <w:lastRenderedPageBreak/>
        <w:t>Ziel und Methodik der Studie</w:t>
      </w:r>
      <w:bookmarkEnd w:id="1"/>
    </w:p>
    <w:p w:rsidR="00492154" w:rsidRPr="00674790" w:rsidRDefault="00492154" w:rsidP="00492154">
      <w:pPr>
        <w:rPr>
          <w:rFonts w:cs="Arial"/>
        </w:rPr>
      </w:pPr>
    </w:p>
    <w:p w:rsidR="00492154" w:rsidRPr="00674790" w:rsidRDefault="00492154" w:rsidP="00492154">
      <w:pPr>
        <w:rPr>
          <w:rFonts w:cs="Arial"/>
        </w:rPr>
      </w:pPr>
      <w:r w:rsidRPr="00674790">
        <w:rPr>
          <w:rFonts w:cs="Arial"/>
        </w:rPr>
        <w:t>Seit September 2015 ermöglicht das Bundesgesetz über alternative Finanzierungsformen</w:t>
      </w:r>
      <w:r w:rsidR="00AC3BC0" w:rsidRPr="00674790">
        <w:rPr>
          <w:rFonts w:cs="Arial"/>
        </w:rPr>
        <w:t xml:space="preserve"> (</w:t>
      </w:r>
      <w:proofErr w:type="spellStart"/>
      <w:r w:rsidR="00AC3BC0" w:rsidRPr="00674790">
        <w:rPr>
          <w:rFonts w:cs="Arial"/>
        </w:rPr>
        <w:t>AltFG</w:t>
      </w:r>
      <w:proofErr w:type="spellEnd"/>
      <w:r w:rsidR="00AC3BC0" w:rsidRPr="00674790">
        <w:rPr>
          <w:rFonts w:cs="Arial"/>
        </w:rPr>
        <w:t>)</w:t>
      </w:r>
      <w:r w:rsidRPr="00674790">
        <w:rPr>
          <w:rFonts w:cs="Arial"/>
        </w:rPr>
        <w:t xml:space="preserve"> eine Finanzierung von Startups und KMUs direkt bei Verbrauchern. Dies sollte primär den Zugang für Kleinunternehmen zu Kapitalgebern ohne die aufwändigen und Kostenintensiven Maßnahmen einer Prospekterstellung ermöglichen und andererseits eine Alternative zu Bankfinanzierungen mit den hohen Anforderungen an Sicherheit darstellen.</w:t>
      </w:r>
    </w:p>
    <w:p w:rsidR="00492154" w:rsidRPr="00674790" w:rsidRDefault="00492154" w:rsidP="00492154">
      <w:pPr>
        <w:rPr>
          <w:rFonts w:cs="Arial"/>
        </w:rPr>
      </w:pPr>
    </w:p>
    <w:p w:rsidR="00492154" w:rsidRPr="00674790" w:rsidRDefault="00492154" w:rsidP="00492154">
      <w:pPr>
        <w:rPr>
          <w:rFonts w:cs="Arial"/>
        </w:rPr>
      </w:pPr>
      <w:r w:rsidRPr="00674790">
        <w:rPr>
          <w:rFonts w:cs="Arial"/>
        </w:rPr>
        <w:t>Auch die Kapitalgeber finden so leichteren Zugang um – vor allem im regionalen bzw. nationalen Bereich – Investitionsmöglichkeiten im Segment des Wagnis- oder Risikokapitals zu tätigen und so an unternehmerischen Erfolgen teilhaben zu können.</w:t>
      </w:r>
    </w:p>
    <w:p w:rsidR="00492154" w:rsidRPr="00674790" w:rsidRDefault="00492154" w:rsidP="00492154">
      <w:pPr>
        <w:rPr>
          <w:rFonts w:cs="Arial"/>
        </w:rPr>
      </w:pPr>
    </w:p>
    <w:p w:rsidR="00492154" w:rsidRPr="00674790" w:rsidRDefault="00492154" w:rsidP="00492154">
      <w:pPr>
        <w:rPr>
          <w:rFonts w:cs="Arial"/>
        </w:rPr>
      </w:pPr>
      <w:r w:rsidRPr="00674790">
        <w:rPr>
          <w:rFonts w:cs="Arial"/>
        </w:rPr>
        <w:t xml:space="preserve">Die dabei getroffenen Regelungen richteten sich primär </w:t>
      </w:r>
      <w:r w:rsidR="00AC3BC0" w:rsidRPr="00674790">
        <w:rPr>
          <w:rFonts w:cs="Arial"/>
        </w:rPr>
        <w:t>darauf aus, Wirtschaftstreibenden eine kostengünstige und schlanke Möglichkeit der Kapitalbeschaffung zu ermöglichen. Die Interessen der Anleger sollten durch Transparenzvorschriften und eine Deckelung des Investitionsbetrages gewahrt werden.</w:t>
      </w:r>
    </w:p>
    <w:p w:rsidR="00AC3BC0" w:rsidRPr="00674790" w:rsidRDefault="00AC3BC0" w:rsidP="00492154">
      <w:pPr>
        <w:rPr>
          <w:rFonts w:cs="Arial"/>
        </w:rPr>
      </w:pPr>
    </w:p>
    <w:p w:rsidR="00AC3BC0" w:rsidRPr="00674790" w:rsidRDefault="00AC3BC0" w:rsidP="00492154">
      <w:pPr>
        <w:rPr>
          <w:rFonts w:cs="Arial"/>
        </w:rPr>
      </w:pPr>
      <w:r w:rsidRPr="00674790">
        <w:rPr>
          <w:rFonts w:cs="Arial"/>
        </w:rPr>
        <w:t xml:space="preserve">Nach über 2 Jahren </w:t>
      </w:r>
      <w:proofErr w:type="spellStart"/>
      <w:r w:rsidRPr="00674790">
        <w:rPr>
          <w:rFonts w:cs="Arial"/>
        </w:rPr>
        <w:t>AltFG</w:t>
      </w:r>
      <w:proofErr w:type="spellEnd"/>
      <w:r w:rsidRPr="00674790">
        <w:rPr>
          <w:rFonts w:cs="Arial"/>
        </w:rPr>
        <w:t xml:space="preserve"> soll diese Studie den Markt in diesem Segment beleuchten und die Projekte, die eine Finanzierung damit gesucht haben zu beleuchten und kritisch zu würdigen.</w:t>
      </w:r>
    </w:p>
    <w:p w:rsidR="00AC3BC0" w:rsidRPr="00674790" w:rsidRDefault="00AC3BC0" w:rsidP="00492154">
      <w:pPr>
        <w:rPr>
          <w:rFonts w:cs="Arial"/>
        </w:rPr>
      </w:pPr>
    </w:p>
    <w:p w:rsidR="00AC3BC0" w:rsidRPr="00674790" w:rsidRDefault="00AC3BC0" w:rsidP="00492154">
      <w:pPr>
        <w:rPr>
          <w:rFonts w:cs="Arial"/>
        </w:rPr>
      </w:pPr>
      <w:r w:rsidRPr="00674790">
        <w:rPr>
          <w:rFonts w:cs="Arial"/>
        </w:rPr>
        <w:t>Der VKI wurde dazu beauftragt die per Gesetz bei ihm vorliegenden Informationsunterlagen, hauptsächlich die vorgeschriebenen Informationsblätter zu sichten und mögliche Kritik- und Ansatzpunkte aus den vorliegenden Unterlagen zu ziehen, um die Situation auf Basis von konkreten Sachverhalten beurteilen zu können.</w:t>
      </w:r>
    </w:p>
    <w:p w:rsidR="00AC3BC0" w:rsidRPr="00674790" w:rsidRDefault="00AC3BC0" w:rsidP="00492154">
      <w:pPr>
        <w:rPr>
          <w:rFonts w:cs="Arial"/>
        </w:rPr>
      </w:pPr>
    </w:p>
    <w:p w:rsidR="00AC3BC0" w:rsidRPr="00674790" w:rsidRDefault="00AC3BC0" w:rsidP="00492154">
      <w:pPr>
        <w:rPr>
          <w:rFonts w:cs="Arial"/>
        </w:rPr>
      </w:pPr>
      <w:r w:rsidRPr="00674790">
        <w:rPr>
          <w:rFonts w:cs="Arial"/>
        </w:rPr>
        <w:t xml:space="preserve">Die Untersuchung stützt sich dabei auf die gem. </w:t>
      </w:r>
      <w:proofErr w:type="spellStart"/>
      <w:r w:rsidRPr="00674790">
        <w:rPr>
          <w:rFonts w:cs="Arial"/>
        </w:rPr>
        <w:t>AltFG</w:t>
      </w:r>
      <w:proofErr w:type="spellEnd"/>
      <w:r w:rsidRPr="00674790">
        <w:rPr>
          <w:rFonts w:cs="Arial"/>
        </w:rPr>
        <w:t xml:space="preserve"> einzureichenden Informationsblätter aber zieht auch weitere eingereichte Unterlagen ebenfalls in die Betrachtung mit ein. Der dadurch nicht homogene Datenbestand ist jedoch breit genug um fundierte Aussagen über die Marktsituation bei </w:t>
      </w:r>
      <w:proofErr w:type="spellStart"/>
      <w:r w:rsidRPr="00674790">
        <w:rPr>
          <w:rFonts w:cs="Arial"/>
        </w:rPr>
        <w:t>Crowdfinanzierungen</w:t>
      </w:r>
      <w:proofErr w:type="spellEnd"/>
      <w:r w:rsidRPr="00674790">
        <w:rPr>
          <w:rFonts w:cs="Arial"/>
        </w:rPr>
        <w:t xml:space="preserve"> abzugeben.</w:t>
      </w:r>
    </w:p>
    <w:p w:rsidR="00D9794B" w:rsidRPr="00674790" w:rsidRDefault="00D9794B" w:rsidP="00492154">
      <w:pPr>
        <w:rPr>
          <w:rFonts w:cs="Arial"/>
        </w:rPr>
      </w:pPr>
    </w:p>
    <w:p w:rsidR="00D9794B" w:rsidRPr="00674790" w:rsidRDefault="00D9794B" w:rsidP="00492154">
      <w:pPr>
        <w:rPr>
          <w:rFonts w:cs="Arial"/>
        </w:rPr>
      </w:pPr>
      <w:r w:rsidRPr="00674790">
        <w:rPr>
          <w:rFonts w:cs="Arial"/>
        </w:rPr>
        <w:t>Speziell wurden folgende Unterlagen in die Betrachtung mit einbezogen:</w:t>
      </w:r>
    </w:p>
    <w:p w:rsidR="00D9794B" w:rsidRPr="00674790" w:rsidRDefault="00D9794B" w:rsidP="00492154">
      <w:pPr>
        <w:rPr>
          <w:rFonts w:cs="Arial"/>
        </w:rPr>
      </w:pPr>
    </w:p>
    <w:p w:rsidR="00D9794B" w:rsidRPr="00674790" w:rsidRDefault="00D9794B" w:rsidP="00DF38B1">
      <w:pPr>
        <w:pStyle w:val="Listenabsatz"/>
        <w:numPr>
          <w:ilvl w:val="0"/>
          <w:numId w:val="24"/>
        </w:numPr>
      </w:pPr>
      <w:r w:rsidRPr="00674790">
        <w:t xml:space="preserve">Informationsblatt </w:t>
      </w:r>
      <w:proofErr w:type="spellStart"/>
      <w:r w:rsidRPr="00674790">
        <w:t>AltFG</w:t>
      </w:r>
      <w:proofErr w:type="spellEnd"/>
    </w:p>
    <w:p w:rsidR="00D9794B" w:rsidRPr="00674790" w:rsidRDefault="00D9794B" w:rsidP="00DF38B1">
      <w:pPr>
        <w:pStyle w:val="Listenabsatz"/>
        <w:numPr>
          <w:ilvl w:val="0"/>
          <w:numId w:val="24"/>
        </w:numPr>
      </w:pPr>
      <w:r w:rsidRPr="00674790">
        <w:t>Firmenbuchauszüge</w:t>
      </w:r>
    </w:p>
    <w:p w:rsidR="00D9794B" w:rsidRPr="00674790" w:rsidRDefault="00D9794B" w:rsidP="00DF38B1">
      <w:pPr>
        <w:pStyle w:val="Listenabsatz"/>
        <w:numPr>
          <w:ilvl w:val="0"/>
          <w:numId w:val="24"/>
        </w:numPr>
      </w:pPr>
      <w:r w:rsidRPr="00674790">
        <w:t>Jahresabschlüsse</w:t>
      </w:r>
    </w:p>
    <w:p w:rsidR="00D9794B" w:rsidRPr="00674790" w:rsidRDefault="00D9794B" w:rsidP="00DF38B1">
      <w:pPr>
        <w:pStyle w:val="Listenabsatz"/>
        <w:numPr>
          <w:ilvl w:val="0"/>
          <w:numId w:val="24"/>
        </w:numPr>
      </w:pPr>
      <w:r w:rsidRPr="00674790">
        <w:t>Plan- und Prognosedaten der Emittenten</w:t>
      </w:r>
    </w:p>
    <w:p w:rsidR="00D9794B" w:rsidRPr="00674790" w:rsidRDefault="00D9794B" w:rsidP="00DF38B1">
      <w:pPr>
        <w:pStyle w:val="Listenabsatz"/>
        <w:numPr>
          <w:ilvl w:val="0"/>
          <w:numId w:val="24"/>
        </w:numPr>
      </w:pPr>
      <w:r w:rsidRPr="00674790">
        <w:t>Kalkulationsunterlagen für Einzelprojekte</w:t>
      </w:r>
    </w:p>
    <w:p w:rsidR="00F813EC" w:rsidRPr="00674790" w:rsidRDefault="00F813EC" w:rsidP="00F813EC">
      <w:pPr>
        <w:rPr>
          <w:rFonts w:cs="Arial"/>
        </w:rPr>
      </w:pPr>
    </w:p>
    <w:p w:rsidR="00F813EC" w:rsidRPr="00674790" w:rsidRDefault="00F813EC" w:rsidP="00F813EC">
      <w:pPr>
        <w:rPr>
          <w:rFonts w:cs="Arial"/>
        </w:rPr>
      </w:pPr>
      <w:r w:rsidRPr="00674790">
        <w:rPr>
          <w:rFonts w:cs="Arial"/>
        </w:rPr>
        <w:t>Die Unterlagen, die beim Verein für Konsumenteninformation zu hinterlegen sind, weisen erhebliche Unterschiede im Umfang und Qua</w:t>
      </w:r>
      <w:r w:rsidR="007F49A0" w:rsidRPr="00674790">
        <w:rPr>
          <w:rFonts w:cs="Arial"/>
        </w:rPr>
        <w:t>lität auf. Dadurch abweichende Grundmengen werden bei den jeweiligen Aussagen angeführt.</w:t>
      </w:r>
    </w:p>
    <w:p w:rsidR="00B340EA" w:rsidRDefault="00B340EA" w:rsidP="00F813EC">
      <w:pPr>
        <w:rPr>
          <w:rFonts w:cs="Arial"/>
        </w:rPr>
      </w:pPr>
    </w:p>
    <w:p w:rsidR="00AD3804" w:rsidRDefault="00AD3804" w:rsidP="00F813EC">
      <w:pPr>
        <w:rPr>
          <w:rFonts w:cs="Arial"/>
        </w:rPr>
      </w:pPr>
    </w:p>
    <w:p w:rsidR="00AD3804" w:rsidRDefault="00AD3804" w:rsidP="00F813EC">
      <w:pPr>
        <w:rPr>
          <w:rFonts w:cs="Arial"/>
        </w:rPr>
      </w:pPr>
    </w:p>
    <w:p w:rsidR="00AD3804" w:rsidRDefault="00AD3804" w:rsidP="00AD3804">
      <w:pPr>
        <w:pStyle w:val="berschrift1"/>
      </w:pPr>
      <w:bookmarkStart w:id="2" w:name="_Toc513756835"/>
      <w:r>
        <w:lastRenderedPageBreak/>
        <w:t>Zusammenfassung</w:t>
      </w:r>
      <w:bookmarkEnd w:id="2"/>
    </w:p>
    <w:p w:rsidR="00AD3804" w:rsidRDefault="00AD3804" w:rsidP="00AD3804">
      <w:r>
        <w:t>Die Qualität der Unterlagen ist uneinheitlich. Transparente Vergleiche sind damit für den Verbraucher nur sehr schwer möglich.</w:t>
      </w:r>
    </w:p>
    <w:p w:rsidR="00AD3804" w:rsidRDefault="00AD3804" w:rsidP="00AD3804"/>
    <w:p w:rsidR="00AD3804" w:rsidRDefault="00AD3804" w:rsidP="00AD3804">
      <w:r>
        <w:t>Es kann keinen direkten Zusammenhang zwischen Basisverzinsungen bzw. möglichen Renditen in Bezug auf das individuelle Risiko der Veranlagung festgestellt werden. Teilweise gibt es nahezu „fixe“ Konditionen bei Plattformen.</w:t>
      </w:r>
    </w:p>
    <w:p w:rsidR="00AD3804" w:rsidRDefault="00AD3804" w:rsidP="00AD3804"/>
    <w:p w:rsidR="00AD3804" w:rsidRDefault="00AD3804" w:rsidP="00AD3804">
      <w:r>
        <w:t>Bieterverfahren verführen Anleger, die in dem Segment einer fairen Preisfeststellung für solche Anlagen als eher unerfahren einzustufen sind, zur Abgabe zu günstiger Angebote.</w:t>
      </w:r>
      <w:r w:rsidR="00FF0550">
        <w:t xml:space="preserve"> Sie sind aus Verbrauchersicht eher ungeeignet.</w:t>
      </w:r>
    </w:p>
    <w:p w:rsidR="00AD3804" w:rsidRDefault="00AD3804" w:rsidP="00AD3804"/>
    <w:p w:rsidR="00AD3804" w:rsidRDefault="00AD3804" w:rsidP="00AD3804">
      <w:r>
        <w:t>Eigenkapitalquoten liegen im Schnitt der KMU-Ausstattung bezogen auf veröffentlichte Daten der Wirtschaftskammer.</w:t>
      </w:r>
    </w:p>
    <w:p w:rsidR="00AD3804" w:rsidRDefault="00AD3804" w:rsidP="00AD3804"/>
    <w:p w:rsidR="00AD3804" w:rsidRDefault="00AD3804" w:rsidP="00AD3804">
      <w:r>
        <w:t>Die Informationsdatenblätter enthalten viele wichtige Daten, sind jedoch für ungeübte Leser nur schwer zu interpretieren.</w:t>
      </w:r>
    </w:p>
    <w:p w:rsidR="00AD3804" w:rsidRDefault="00AD3804" w:rsidP="00AD3804"/>
    <w:p w:rsidR="00AD3804" w:rsidRDefault="00AD3804" w:rsidP="00AD3804">
      <w:r>
        <w:t xml:space="preserve">Die Angebote zwischen den Plattformen sind stark unterschiedlich. Ein Marktüberblick und ein Vergleich der jeweils gültigen Angebote </w:t>
      </w:r>
      <w:proofErr w:type="gramStart"/>
      <w:r>
        <w:t>ist</w:t>
      </w:r>
      <w:proofErr w:type="gramEnd"/>
      <w:r>
        <w:t xml:space="preserve"> für den interessierten Anleger kaum machbar. Insbesondere da auf den Plattformen jeweils eine Registrierung erforderlich ist, um zu den jeweiligen Daten zu kommen.</w:t>
      </w:r>
    </w:p>
    <w:p w:rsidR="00AD3804" w:rsidRDefault="00AD3804" w:rsidP="00AD3804"/>
    <w:p w:rsidR="00AD3804" w:rsidRDefault="00AD3804" w:rsidP="00AD3804">
      <w:r>
        <w:t>Die angegebene Mittelverwendung ist sehr oft schwammig oder so formuliert, dass dem Verbraucher unklar bleibt wozu das Kapital tatsächlich verwendet werden soll.</w:t>
      </w:r>
    </w:p>
    <w:p w:rsidR="008F33AC" w:rsidRDefault="008F33AC" w:rsidP="00AD3804"/>
    <w:p w:rsidR="008F33AC" w:rsidRDefault="008F33AC" w:rsidP="00AD3804">
      <w:r>
        <w:t xml:space="preserve">Das Informationsblatt erfüllt nicht den Zweck einer transparenten Übersicht für den Verbraucher. </w:t>
      </w:r>
      <w:r w:rsidR="00FF0550">
        <w:t xml:space="preserve">Die ausführlichen Darstellungen des Informationsblattes sind zwar notwendig, jedoch fehlt eine kurz zusammengefasste Übersicht der variablen Punkte wie Verzinsung, Erfolgsbeteiligung, relevante Kennzahlen, </w:t>
      </w:r>
      <w:proofErr w:type="spellStart"/>
      <w:r w:rsidR="00FF0550">
        <w:t>Fundingsumme</w:t>
      </w:r>
      <w:proofErr w:type="spellEnd"/>
      <w:r w:rsidR="00FF0550">
        <w:t xml:space="preserve"> bzw. –schwelle, Laufzeit.</w:t>
      </w:r>
    </w:p>
    <w:p w:rsidR="00FF0550" w:rsidRDefault="00FF0550">
      <w:r>
        <w:br w:type="page"/>
      </w:r>
    </w:p>
    <w:p w:rsidR="00AD3804" w:rsidRDefault="00AD3804" w:rsidP="00AD3804"/>
    <w:p w:rsidR="00AD3804" w:rsidRDefault="00AD3804" w:rsidP="00AD3804">
      <w:pPr>
        <w:pStyle w:val="berschrift1"/>
      </w:pPr>
      <w:bookmarkStart w:id="3" w:name="_Toc513756836"/>
      <w:r>
        <w:t>Ansatzpunkte</w:t>
      </w:r>
      <w:bookmarkEnd w:id="3"/>
    </w:p>
    <w:p w:rsidR="00CC1294" w:rsidRPr="00674790" w:rsidRDefault="00CC1294" w:rsidP="00CC1294">
      <w:pPr>
        <w:rPr>
          <w:rFonts w:cs="Arial"/>
        </w:rPr>
      </w:pPr>
      <w:r w:rsidRPr="00674790">
        <w:rPr>
          <w:rFonts w:cs="Arial"/>
        </w:rPr>
        <w:t xml:space="preserve">Zusammenfassend kann festgestellt werden, dass Anlagen im Rahmen des </w:t>
      </w:r>
      <w:proofErr w:type="spellStart"/>
      <w:r w:rsidRPr="00674790">
        <w:rPr>
          <w:rFonts w:cs="Arial"/>
        </w:rPr>
        <w:t>AltFG</w:t>
      </w:r>
      <w:proofErr w:type="spellEnd"/>
      <w:r w:rsidRPr="00674790">
        <w:rPr>
          <w:rFonts w:cs="Arial"/>
        </w:rPr>
        <w:t xml:space="preserve"> vom Verbraucher selbst und absolut eigenverantwortlich auszuwählen sind. Im Gegensatz zu den üblichen für Klein- und Normalsparer angebotenen Produkte besteht hier wenig bis keine inhaltliche Prüfung und man muss die Anlage generell als hochspekulativ und risikoreich ansehen.</w:t>
      </w:r>
    </w:p>
    <w:p w:rsidR="00CC1294" w:rsidRPr="00674790" w:rsidRDefault="00CC1294" w:rsidP="00CC1294">
      <w:pPr>
        <w:rPr>
          <w:rFonts w:cs="Arial"/>
        </w:rPr>
      </w:pPr>
    </w:p>
    <w:p w:rsidR="00CC1294" w:rsidRPr="00674790" w:rsidRDefault="00CC1294" w:rsidP="00CC1294">
      <w:pPr>
        <w:rPr>
          <w:rFonts w:cs="Arial"/>
        </w:rPr>
      </w:pPr>
      <w:r w:rsidRPr="00674790">
        <w:rPr>
          <w:rFonts w:cs="Arial"/>
        </w:rPr>
        <w:t>Um diese Anlageform sinnvoll einem breiten Publikum anzubieten sind systemische Verbesserungen notwendig. Eine, wenn auch verkürzte, inhaltliche Prüfung oder zumindest eine Aufarbeitung relevanter Daten und übersichtliche Informationsquelle wären hier entsprechende Ansatzpunkte. Nur so kann die Informationstransparenz für die Anleger auch realisiert werden, wenn er vergleichen kann.</w:t>
      </w:r>
    </w:p>
    <w:p w:rsidR="00CC1294" w:rsidRPr="00674790" w:rsidRDefault="00CC1294" w:rsidP="00CC1294">
      <w:pPr>
        <w:rPr>
          <w:rFonts w:cs="Arial"/>
        </w:rPr>
      </w:pPr>
    </w:p>
    <w:p w:rsidR="00CC1294" w:rsidRPr="00674790" w:rsidRDefault="00CC1294" w:rsidP="00CC1294">
      <w:pPr>
        <w:rPr>
          <w:rFonts w:cs="Arial"/>
        </w:rPr>
      </w:pPr>
      <w:r w:rsidRPr="00674790">
        <w:rPr>
          <w:rFonts w:cs="Arial"/>
        </w:rPr>
        <w:t>Ideal wäre ebenfalls im Sinne des Verbrauchers weitere Produkte, mit nicht so hohem Risiko, für Crowdfunding interessant zu machen. So werden zwar Anleihen genannt, die zu geringe Summe verhindert dort jedoch offensichtlich einen breiteren Ansatz.</w:t>
      </w:r>
    </w:p>
    <w:p w:rsidR="00CC1294" w:rsidRPr="00674790" w:rsidRDefault="00CC1294" w:rsidP="00CC1294">
      <w:pPr>
        <w:rPr>
          <w:rFonts w:cs="Arial"/>
        </w:rPr>
      </w:pPr>
    </w:p>
    <w:p w:rsidR="00CC1294" w:rsidRPr="00674790" w:rsidRDefault="00CC1294" w:rsidP="00CC1294">
      <w:pPr>
        <w:rPr>
          <w:rFonts w:cs="Arial"/>
        </w:rPr>
      </w:pPr>
      <w:r w:rsidRPr="00674790">
        <w:rPr>
          <w:rFonts w:cs="Arial"/>
        </w:rPr>
        <w:t>Positiv zu vermerken ist die Betragsdeckelung die eine für den Anleger bedrohliche Kumulierung verhindern soll. Allerdings wäre ein Schutz vor Verlusten einer Deckelung derselben vorzuziehen.</w:t>
      </w:r>
    </w:p>
    <w:p w:rsidR="00CC1294" w:rsidRDefault="00CC1294" w:rsidP="00AD3804"/>
    <w:p w:rsidR="00CC1294" w:rsidRDefault="00CC1294" w:rsidP="00AD3804"/>
    <w:p w:rsidR="00AD3804" w:rsidRDefault="00CC1294" w:rsidP="00AD3804">
      <w:r>
        <w:t xml:space="preserve">Dies wäre möglich mittels </w:t>
      </w:r>
      <w:r w:rsidR="00AD3804">
        <w:t>Schaffung einer transparenten Übersicht der Produkte. Dies sollte Plattformübergreifend und komprimiert erfolgen</w:t>
      </w:r>
      <w:r>
        <w:t xml:space="preserve"> und von einer zentralen Stelle aus erfolgen</w:t>
      </w:r>
      <w:r w:rsidR="00AD3804">
        <w:t>.</w:t>
      </w:r>
      <w:r>
        <w:t xml:space="preserve"> Diese Stelle sollte auch die Vergleichskennzahlen prüfen, ermitteln und mit einem entsprechenden Informationsauskunftsrecht ausgestattet sein.</w:t>
      </w:r>
    </w:p>
    <w:p w:rsidR="00CC1294" w:rsidRDefault="00CC1294" w:rsidP="00AD3804"/>
    <w:p w:rsidR="00CC1294" w:rsidRPr="00AD3804" w:rsidRDefault="00CC1294" w:rsidP="00AD3804">
      <w:r>
        <w:t xml:space="preserve">Damit diese Vergleiche für den Verbraucher sinnhaft sind, sollten Projekte mit einer angemessenen Frist vor Zeichnungsbeginn </w:t>
      </w:r>
      <w:proofErr w:type="spellStart"/>
      <w:r>
        <w:t>einzumelden</w:t>
      </w:r>
      <w:proofErr w:type="spellEnd"/>
      <w:r>
        <w:t xml:space="preserve"> sein.</w:t>
      </w:r>
    </w:p>
    <w:p w:rsidR="00C873D9" w:rsidRDefault="00C873D9">
      <w:pPr>
        <w:rPr>
          <w:rFonts w:cs="Arial"/>
        </w:rPr>
      </w:pPr>
    </w:p>
    <w:p w:rsidR="00CC1294" w:rsidRDefault="00CC1294">
      <w:pPr>
        <w:rPr>
          <w:rFonts w:cs="Arial"/>
        </w:rPr>
      </w:pPr>
      <w:r>
        <w:rPr>
          <w:rFonts w:cs="Arial"/>
        </w:rPr>
        <w:t>Die</w:t>
      </w:r>
      <w:r w:rsidR="00C873D9">
        <w:rPr>
          <w:rFonts w:cs="Arial"/>
        </w:rPr>
        <w:t xml:space="preserve"> Informationsdatenblätter</w:t>
      </w:r>
      <w:r>
        <w:rPr>
          <w:rFonts w:cs="Arial"/>
        </w:rPr>
        <w:t xml:space="preserve"> sind</w:t>
      </w:r>
      <w:r w:rsidR="00C873D9">
        <w:rPr>
          <w:rFonts w:cs="Arial"/>
        </w:rPr>
        <w:t xml:space="preserve"> in Bezug auf für die Anlage relevante Kenngrößen</w:t>
      </w:r>
      <w:r>
        <w:rPr>
          <w:rFonts w:cs="Arial"/>
        </w:rPr>
        <w:t xml:space="preserve"> zu ergänzen oder überarbeiten</w:t>
      </w:r>
      <w:r w:rsidR="00C873D9">
        <w:rPr>
          <w:rFonts w:cs="Arial"/>
        </w:rPr>
        <w:t>. Für Erfolgsbeteiligungskennzahlen sollte ein aktueller Wert sowie auch die lt. Plan prognostizierten Werte aufgenommen werden.</w:t>
      </w:r>
    </w:p>
    <w:p w:rsidR="00B340EA" w:rsidRPr="00674790" w:rsidRDefault="00CC1294">
      <w:pPr>
        <w:rPr>
          <w:rFonts w:cs="Arial"/>
        </w:rPr>
      </w:pPr>
      <w:r>
        <w:rPr>
          <w:rFonts w:cs="Arial"/>
        </w:rPr>
        <w:t xml:space="preserve">Als einfache Kennzahlen bieten sich dabei FK-Quote oder EBITA – Marge an. Kapitalrendite im Vergleich zur Basisverzinsung sowie Prognosen relevanter (Wertentwicklung des Unternehmens) zur Einschätzung der Chancen / Risikorelation der Anlagen </w:t>
      </w:r>
      <w:r w:rsidR="00AB080A">
        <w:rPr>
          <w:rFonts w:cs="Arial"/>
        </w:rPr>
        <w:t>sind für den Verbraucher sinnvoll.</w:t>
      </w:r>
      <w:r w:rsidR="00B340EA" w:rsidRPr="00674790">
        <w:rPr>
          <w:rFonts w:cs="Arial"/>
        </w:rPr>
        <w:br w:type="page"/>
      </w:r>
    </w:p>
    <w:p w:rsidR="00BD1BEF" w:rsidRPr="00674790" w:rsidRDefault="00F5302E" w:rsidP="00BD1BEF">
      <w:pPr>
        <w:pStyle w:val="berschrift1"/>
        <w:tabs>
          <w:tab w:val="left" w:pos="1134"/>
          <w:tab w:val="left" w:pos="4111"/>
          <w:tab w:val="left" w:pos="5529"/>
          <w:tab w:val="left" w:pos="7797"/>
        </w:tabs>
        <w:spacing w:before="120"/>
        <w:ind w:left="283" w:hanging="340"/>
      </w:pPr>
      <w:bookmarkStart w:id="4" w:name="_Toc513756837"/>
      <w:r w:rsidRPr="00674790">
        <w:lastRenderedPageBreak/>
        <w:t>Entstehung</w:t>
      </w:r>
      <w:bookmarkEnd w:id="4"/>
    </w:p>
    <w:p w:rsidR="00BD1BEF" w:rsidRPr="00674790" w:rsidRDefault="00BD1BEF" w:rsidP="00BD1BEF">
      <w:pPr>
        <w:rPr>
          <w:rFonts w:cs="Arial"/>
        </w:rPr>
      </w:pPr>
    </w:p>
    <w:p w:rsidR="00BD1BEF" w:rsidRPr="00674790" w:rsidRDefault="00F5302E" w:rsidP="00BD1BEF">
      <w:pPr>
        <w:rPr>
          <w:rFonts w:cs="Arial"/>
        </w:rPr>
      </w:pPr>
      <w:r w:rsidRPr="00674790">
        <w:rPr>
          <w:rFonts w:cs="Arial"/>
        </w:rPr>
        <w:t xml:space="preserve">Die Entstehung von Finanzierungen und Geldanlagen in der Crowd hat mehrere Gründe. Die Crowd, </w:t>
      </w:r>
      <w:r w:rsidR="003D7CAA" w:rsidRPr="00674790">
        <w:rPr>
          <w:rFonts w:cs="Arial"/>
        </w:rPr>
        <w:t>der Schwarm</w:t>
      </w:r>
      <w:r w:rsidRPr="00674790">
        <w:rPr>
          <w:rFonts w:cs="Arial"/>
        </w:rPr>
        <w:t>, wird in diesem Sinne von Kapitalsuchenden angesprochen ohne die etablierten Finanzierungssysteme wie Banken oder Börsen in Anspruch zu nehmen. Der Kapitalsuchende versucht also die Anleger direkt und ohne Einschaltung des Kapitalmarktes an den Börsen zu erreichen. Gleichzeitig vermeidet er der Einschätzung eines einzigen Kreditgebers (Bank) unterworfen zu sein.</w:t>
      </w:r>
      <w:r w:rsidR="003D7CAA" w:rsidRPr="00674790">
        <w:rPr>
          <w:rFonts w:cs="Arial"/>
        </w:rPr>
        <w:t xml:space="preserve"> Man bezeichnet es daher oft auch als Schwarmfinanzierung.</w:t>
      </w:r>
    </w:p>
    <w:p w:rsidR="00F5302E" w:rsidRPr="00674790" w:rsidRDefault="00F5302E" w:rsidP="00BD1BEF">
      <w:pPr>
        <w:rPr>
          <w:rFonts w:cs="Arial"/>
        </w:rPr>
      </w:pPr>
    </w:p>
    <w:p w:rsidR="00F5302E" w:rsidRPr="00674790" w:rsidRDefault="00F5302E" w:rsidP="00BD1BEF">
      <w:pPr>
        <w:rPr>
          <w:rFonts w:cs="Arial"/>
        </w:rPr>
      </w:pPr>
      <w:r w:rsidRPr="00674790">
        <w:rPr>
          <w:rFonts w:cs="Arial"/>
        </w:rPr>
        <w:t>Als Gründe für die Entstehung solcher Finanzierungsformen können daher identifiziert werden:</w:t>
      </w:r>
    </w:p>
    <w:p w:rsidR="00F5302E" w:rsidRPr="00674790" w:rsidRDefault="00F5302E" w:rsidP="00BD1BEF">
      <w:pPr>
        <w:rPr>
          <w:rFonts w:cs="Arial"/>
        </w:rPr>
      </w:pPr>
    </w:p>
    <w:p w:rsidR="00F5302E" w:rsidRPr="00674790" w:rsidRDefault="00F5302E" w:rsidP="00DF38B1">
      <w:pPr>
        <w:pStyle w:val="Listenabsatz"/>
        <w:numPr>
          <w:ilvl w:val="0"/>
          <w:numId w:val="18"/>
        </w:numPr>
      </w:pPr>
      <w:r w:rsidRPr="00674790">
        <w:t xml:space="preserve">Vermeidung des etablierten Finanzsystems aufgrund schwindendem Vertrauen oder Ausschaltung von zwischengeschalteten Unternehmen mit eigenen </w:t>
      </w:r>
      <w:r w:rsidR="00D84DA0" w:rsidRPr="00674790">
        <w:t>wirtschaftlichen</w:t>
      </w:r>
      <w:r w:rsidRPr="00674790">
        <w:t xml:space="preserve"> Interessen.</w:t>
      </w:r>
    </w:p>
    <w:p w:rsidR="00F5302E" w:rsidRPr="00674790" w:rsidRDefault="00F5302E" w:rsidP="00DF38B1">
      <w:pPr>
        <w:pStyle w:val="Listenabsatz"/>
        <w:numPr>
          <w:ilvl w:val="0"/>
          <w:numId w:val="18"/>
        </w:numPr>
      </w:pPr>
      <w:r w:rsidRPr="00674790">
        <w:t>Direkte Vertrags- und Geschäftsbeziehung zwischen Anleger und Kreditnehmer. Der Anleger ist informiert, welche Firma „sein Geld“ erhält.</w:t>
      </w:r>
    </w:p>
    <w:p w:rsidR="00F5302E" w:rsidRPr="00674790" w:rsidRDefault="00F5302E" w:rsidP="00DF38B1">
      <w:pPr>
        <w:pStyle w:val="Listenabsatz"/>
        <w:numPr>
          <w:ilvl w:val="0"/>
          <w:numId w:val="18"/>
        </w:numPr>
      </w:pPr>
      <w:r w:rsidRPr="00674790">
        <w:t>Nachhaltige Gründe. Die direkte Investition erlaubt dem Anleger die Auswahl von für ihn wichtigen Projekten. Diese Auswahl muss nicht zwingend aus Renditegesichtspunkten erfolgen, sondern kann auch beispielsweise aus ethischen, ökologischen oder regionalen Aspekten erfolgen.</w:t>
      </w:r>
    </w:p>
    <w:p w:rsidR="00F5302E" w:rsidRPr="00674790" w:rsidRDefault="00804E53" w:rsidP="00DF38B1">
      <w:pPr>
        <w:pStyle w:val="Listenabsatz"/>
        <w:numPr>
          <w:ilvl w:val="0"/>
          <w:numId w:val="18"/>
        </w:numPr>
      </w:pPr>
      <w:r w:rsidRPr="00674790">
        <w:t xml:space="preserve">Wirtschaftliche Aspekte </w:t>
      </w:r>
    </w:p>
    <w:p w:rsidR="00804E53" w:rsidRPr="00674790" w:rsidRDefault="00804E53" w:rsidP="00DF38B1">
      <w:pPr>
        <w:pStyle w:val="Listenabsatz"/>
        <w:numPr>
          <w:ilvl w:val="0"/>
          <w:numId w:val="18"/>
        </w:numPr>
      </w:pPr>
      <w:r w:rsidRPr="00674790">
        <w:t xml:space="preserve">Vorbehalte gegen das bestehende Finanzsystem </w:t>
      </w:r>
    </w:p>
    <w:p w:rsidR="00804E53" w:rsidRPr="00674790" w:rsidRDefault="00804E53" w:rsidP="00DF38B1">
      <w:pPr>
        <w:pStyle w:val="Listenabsatz"/>
        <w:numPr>
          <w:ilvl w:val="0"/>
          <w:numId w:val="18"/>
        </w:numPr>
      </w:pPr>
      <w:r w:rsidRPr="00674790">
        <w:t>Finanzierung von Geschäftsideen, die durch das Prüfungsraster bei Banken bzw. der Bonitätsforderungen fallen.</w:t>
      </w:r>
    </w:p>
    <w:p w:rsidR="00197D3C" w:rsidRPr="00674790" w:rsidRDefault="00197D3C" w:rsidP="00DF38B1">
      <w:pPr>
        <w:pStyle w:val="Listenabsatz"/>
        <w:numPr>
          <w:ilvl w:val="0"/>
          <w:numId w:val="18"/>
        </w:numPr>
      </w:pPr>
      <w:r w:rsidRPr="00674790">
        <w:t xml:space="preserve">Die Vermeidung des Sammelns von Daten durch große Finanzanbieter oder andere zentrale Stellen </w:t>
      </w:r>
    </w:p>
    <w:p w:rsidR="00197D3C" w:rsidRPr="00674790" w:rsidRDefault="00197D3C" w:rsidP="00197D3C">
      <w:pPr>
        <w:rPr>
          <w:rFonts w:cs="Arial"/>
        </w:rPr>
      </w:pPr>
    </w:p>
    <w:p w:rsidR="00197D3C" w:rsidRPr="00674790" w:rsidRDefault="00197D3C" w:rsidP="00197D3C">
      <w:pPr>
        <w:rPr>
          <w:rFonts w:cs="Arial"/>
        </w:rPr>
      </w:pPr>
      <w:r w:rsidRPr="00674790">
        <w:rPr>
          <w:rFonts w:cs="Arial"/>
        </w:rPr>
        <w:t>Diese Crowdbewegungen mündeten bisher in diverse Ansätze und Produkte. Von Kryptowährungen über Crowdfunding, Crowdinvesting, regionale Bürgerbeteiligungsmodelle und ähnliches.</w:t>
      </w:r>
    </w:p>
    <w:p w:rsidR="00197D3C" w:rsidRPr="00674790" w:rsidRDefault="00197D3C" w:rsidP="00197D3C">
      <w:pPr>
        <w:rPr>
          <w:rFonts w:cs="Arial"/>
        </w:rPr>
      </w:pPr>
    </w:p>
    <w:p w:rsidR="00197D3C" w:rsidRPr="00674790" w:rsidRDefault="00197D3C" w:rsidP="00197D3C">
      <w:pPr>
        <w:rPr>
          <w:rFonts w:cs="Arial"/>
        </w:rPr>
      </w:pPr>
      <w:r w:rsidRPr="00674790">
        <w:rPr>
          <w:rFonts w:cs="Arial"/>
        </w:rPr>
        <w:t>Allen ist gemeinsam, dass Sie an bestehenden Systemen oder nur mittels partieller Einschaltung dieser funktionieren. Dies bedeutet in diesem Sinne auch, dass die gewohnten Standardisierungen und Reglementierungen nur teilweise greifen und es sich um Vertrags</w:t>
      </w:r>
      <w:r w:rsidR="005D6033" w:rsidRPr="00674790">
        <w:rPr>
          <w:rFonts w:cs="Arial"/>
        </w:rPr>
        <w:t>- und Produkt</w:t>
      </w:r>
      <w:r w:rsidRPr="00674790">
        <w:rPr>
          <w:rFonts w:cs="Arial"/>
        </w:rPr>
        <w:t>gestaltungen handelt, die nicht jedem Anleger sofort bewusst sind. Die Abweichungen zu den reglementierten Produkten des Finanzsystems müssen dem Verbraucher jedoch bewusst sein, um eine verantwortungsvolle Anlageentscheidung treffen zu können.</w:t>
      </w:r>
    </w:p>
    <w:p w:rsidR="003D7CAA" w:rsidRPr="00674790" w:rsidRDefault="003D7CAA" w:rsidP="00197D3C">
      <w:pPr>
        <w:rPr>
          <w:rFonts w:cs="Arial"/>
        </w:rPr>
      </w:pPr>
    </w:p>
    <w:p w:rsidR="003D7CAA" w:rsidRPr="00674790" w:rsidRDefault="003D7CAA" w:rsidP="00197D3C">
      <w:pPr>
        <w:rPr>
          <w:rFonts w:cs="Arial"/>
        </w:rPr>
      </w:pPr>
      <w:r w:rsidRPr="00674790">
        <w:rPr>
          <w:rFonts w:cs="Arial"/>
        </w:rPr>
        <w:t>Dabei ist Crowdfunding kein wirklich ganz neues Phänomen. So wurde zum Beispiel bereits die Finanzierung des Sockels der Freiheitsstatue im 18. Jahrhundert durch 160.000 Einzelspenden ermöglicht.</w:t>
      </w:r>
    </w:p>
    <w:p w:rsidR="005D6033" w:rsidRPr="00674790" w:rsidRDefault="005D6033" w:rsidP="00197D3C">
      <w:pPr>
        <w:rPr>
          <w:rFonts w:cs="Arial"/>
        </w:rPr>
      </w:pPr>
    </w:p>
    <w:p w:rsidR="005D6033" w:rsidRPr="00674790" w:rsidRDefault="005D6033">
      <w:pPr>
        <w:rPr>
          <w:rFonts w:cs="Arial"/>
        </w:rPr>
      </w:pPr>
      <w:r w:rsidRPr="00674790">
        <w:rPr>
          <w:rFonts w:cs="Arial"/>
        </w:rPr>
        <w:br w:type="page"/>
      </w:r>
    </w:p>
    <w:p w:rsidR="005D6033" w:rsidRPr="00674790" w:rsidRDefault="005D6033" w:rsidP="005D6033">
      <w:pPr>
        <w:pStyle w:val="berschrift1"/>
      </w:pPr>
      <w:bookmarkStart w:id="5" w:name="_Toc513756838"/>
      <w:r w:rsidRPr="00674790">
        <w:lastRenderedPageBreak/>
        <w:t>Arten von Crowdfinanzierungen</w:t>
      </w:r>
      <w:r w:rsidR="00E61567" w:rsidRPr="00674790">
        <w:t xml:space="preserve"> (international)</w:t>
      </w:r>
      <w:bookmarkEnd w:id="5"/>
    </w:p>
    <w:p w:rsidR="005D6033" w:rsidRPr="00674790" w:rsidRDefault="005D6033" w:rsidP="005D6033">
      <w:pPr>
        <w:rPr>
          <w:rFonts w:cs="Arial"/>
        </w:rPr>
      </w:pPr>
    </w:p>
    <w:p w:rsidR="005D6033" w:rsidRPr="00674790" w:rsidRDefault="005D6033" w:rsidP="005D6033">
      <w:pPr>
        <w:rPr>
          <w:rFonts w:cs="Arial"/>
        </w:rPr>
      </w:pPr>
      <w:r w:rsidRPr="00674790">
        <w:rPr>
          <w:rFonts w:cs="Arial"/>
        </w:rPr>
        <w:t>Bei den unter Crowdfunding als Überbegriff zusammengefassten Modellen können 4 verschiedene Basismodelle abgegrenzt werden.</w:t>
      </w:r>
    </w:p>
    <w:p w:rsidR="005D6033" w:rsidRPr="00674790" w:rsidRDefault="005D6033" w:rsidP="005D6033">
      <w:pPr>
        <w:rPr>
          <w:rFonts w:cs="Arial"/>
        </w:rPr>
      </w:pPr>
    </w:p>
    <w:p w:rsidR="005D6033" w:rsidRPr="00674790" w:rsidRDefault="005D6033" w:rsidP="005D6033">
      <w:pPr>
        <w:rPr>
          <w:rFonts w:cs="Arial"/>
        </w:rPr>
      </w:pPr>
      <w:r w:rsidRPr="00674790">
        <w:rPr>
          <w:rFonts w:cs="Arial"/>
        </w:rPr>
        <w:t>Vor allem zu Beginn dieser Anlagemöglichkeiten dominierten das sogenannte „</w:t>
      </w:r>
      <w:r w:rsidRPr="00674790">
        <w:rPr>
          <w:rFonts w:cs="Arial"/>
          <w:b/>
        </w:rPr>
        <w:t>donation-based</w:t>
      </w:r>
      <w:r w:rsidRPr="00674790">
        <w:rPr>
          <w:rFonts w:cs="Arial"/>
        </w:rPr>
        <w:t xml:space="preserve"> Modell“. Dabei wurden interessante Ideen durch Spenden einer Community finanziert. Softwareprojekte wurden so oft erst ermöglicht. Die Zielrichtung liegt hier eindeutig bei </w:t>
      </w:r>
      <w:r w:rsidR="00083C59" w:rsidRPr="00674790">
        <w:rPr>
          <w:rFonts w:cs="Arial"/>
        </w:rPr>
        <w:t>der</w:t>
      </w:r>
      <w:r w:rsidRPr="00674790">
        <w:rPr>
          <w:rFonts w:cs="Arial"/>
        </w:rPr>
        <w:t xml:space="preserve"> sozialen, ethischen </w:t>
      </w:r>
      <w:r w:rsidR="00083C59" w:rsidRPr="00674790">
        <w:rPr>
          <w:rFonts w:cs="Arial"/>
        </w:rPr>
        <w:t>oder einer ähnlichen Motivation des Geldgebers.</w:t>
      </w:r>
    </w:p>
    <w:p w:rsidR="005D6033" w:rsidRPr="00674790" w:rsidRDefault="005D6033" w:rsidP="005D6033">
      <w:pPr>
        <w:rPr>
          <w:rFonts w:cs="Arial"/>
        </w:rPr>
      </w:pPr>
      <w:r w:rsidRPr="00674790">
        <w:rPr>
          <w:rFonts w:cs="Arial"/>
        </w:rPr>
        <w:t xml:space="preserve">Dieses Modell ist dadurch gekennzeichnet, dass die Anlage als Spende </w:t>
      </w:r>
      <w:r w:rsidR="00083C59" w:rsidRPr="00674790">
        <w:rPr>
          <w:rFonts w:cs="Arial"/>
        </w:rPr>
        <w:t>getätigt wird. Insofern stellt es auch eine Sonderform dar, da der Anleger keine Gegenleistung für sein zur Verfügung gestelltes Geld erwartet.</w:t>
      </w:r>
    </w:p>
    <w:p w:rsidR="00800A56" w:rsidRPr="00674790" w:rsidRDefault="00800A56" w:rsidP="005D6033">
      <w:pPr>
        <w:rPr>
          <w:rFonts w:cs="Arial"/>
        </w:rPr>
      </w:pPr>
    </w:p>
    <w:p w:rsidR="00800A56" w:rsidRPr="00674790" w:rsidRDefault="00AD30D8" w:rsidP="005D6033">
      <w:pPr>
        <w:rPr>
          <w:rFonts w:cs="Arial"/>
        </w:rPr>
      </w:pPr>
      <w:r w:rsidRPr="00674790">
        <w:rPr>
          <w:rFonts w:cs="Arial"/>
        </w:rPr>
        <w:t>Sehr ähnlich zum donation-based ist das „</w:t>
      </w:r>
      <w:r w:rsidRPr="00674790">
        <w:rPr>
          <w:rFonts w:cs="Arial"/>
          <w:b/>
        </w:rPr>
        <w:t>reward-based</w:t>
      </w:r>
      <w:r w:rsidRPr="00674790">
        <w:rPr>
          <w:rFonts w:cs="Arial"/>
        </w:rPr>
        <w:t xml:space="preserve"> Modell“. Hier ist die Geldüberlassung zwar nicht ganz ohne Gegenleistung, jedoch besteht die Gegenleistung nicht in tatsächlichem Gegenwert und schon gar nicht unter Renditegesichtspunkten. Die Gegenleistung ist eher in ideeller Form wertvoll. Beispiele hierfür sind: limitierte T-Shirts, Nennung als Unterstützer, Handsignierte Produkte, Sondereditionen.</w:t>
      </w:r>
    </w:p>
    <w:p w:rsidR="00AD30D8" w:rsidRPr="00674790" w:rsidRDefault="00AD30D8" w:rsidP="005D6033">
      <w:pPr>
        <w:rPr>
          <w:rFonts w:cs="Arial"/>
        </w:rPr>
      </w:pPr>
    </w:p>
    <w:p w:rsidR="00AD30D8" w:rsidRPr="00674790" w:rsidRDefault="00AD30D8" w:rsidP="005D6033">
      <w:pPr>
        <w:rPr>
          <w:rFonts w:cs="Arial"/>
        </w:rPr>
      </w:pPr>
      <w:r w:rsidRPr="00674790">
        <w:rPr>
          <w:rFonts w:cs="Arial"/>
        </w:rPr>
        <w:t xml:space="preserve">Diese beiden Modelle sind eher als Förderungsmodelle ausgelegt und können daher auch nicht unter dem Gesichtspunkt der Geldanlage betrachtet werden. Sie sind daher auch </w:t>
      </w:r>
      <w:r w:rsidR="007F28CD" w:rsidRPr="00674790">
        <w:rPr>
          <w:rFonts w:cs="Arial"/>
        </w:rPr>
        <w:t xml:space="preserve">bisher nicht als regulierungsrelevant betrachtet worden. </w:t>
      </w:r>
    </w:p>
    <w:p w:rsidR="007F28CD" w:rsidRPr="00674790" w:rsidRDefault="007F28CD" w:rsidP="005D6033">
      <w:pPr>
        <w:rPr>
          <w:rFonts w:cs="Arial"/>
        </w:rPr>
      </w:pPr>
    </w:p>
    <w:p w:rsidR="007F28CD" w:rsidRPr="00674790" w:rsidRDefault="009F47FE" w:rsidP="005D6033">
      <w:pPr>
        <w:rPr>
          <w:rFonts w:cs="Arial"/>
        </w:rPr>
      </w:pPr>
      <w:r w:rsidRPr="00674790">
        <w:rPr>
          <w:rFonts w:cs="Arial"/>
        </w:rPr>
        <w:t>Das „</w:t>
      </w:r>
      <w:r w:rsidRPr="00674790">
        <w:rPr>
          <w:rFonts w:cs="Arial"/>
          <w:b/>
        </w:rPr>
        <w:t>lending-based</w:t>
      </w:r>
      <w:r w:rsidRPr="00674790">
        <w:rPr>
          <w:rFonts w:cs="Arial"/>
        </w:rPr>
        <w:t>“ Crowdfunding basiert auf der Vergabe von Krediten. Das vom Anleger überlassene Geld wird vom Unternehmen als Fremdkapital aufgenommen, verzinst und zu einem bestimmten Zeitpunkt zurückgezahlt.</w:t>
      </w:r>
      <w:r w:rsidR="00E61567" w:rsidRPr="00674790">
        <w:rPr>
          <w:rFonts w:cs="Arial"/>
        </w:rPr>
        <w:t xml:space="preserve"> Diese Form entspricht in etwa eine Anlage in Industrieanleihen. Dabei gilt auch hier, je riskanter die Finanzierung ist, desto höher ist auch die gewährte Verzinsung.</w:t>
      </w:r>
    </w:p>
    <w:p w:rsidR="00E61567" w:rsidRPr="00674790" w:rsidRDefault="00E61567" w:rsidP="005D6033">
      <w:pPr>
        <w:rPr>
          <w:rFonts w:cs="Arial"/>
        </w:rPr>
      </w:pPr>
    </w:p>
    <w:p w:rsidR="00E61567" w:rsidRPr="00674790" w:rsidRDefault="00E61567" w:rsidP="005D6033">
      <w:pPr>
        <w:rPr>
          <w:rFonts w:cs="Arial"/>
        </w:rPr>
      </w:pPr>
      <w:r w:rsidRPr="00674790">
        <w:rPr>
          <w:rFonts w:cs="Arial"/>
        </w:rPr>
        <w:t>Und schließlich existiert noch das „</w:t>
      </w:r>
      <w:r w:rsidRPr="00674790">
        <w:rPr>
          <w:rFonts w:cs="Arial"/>
          <w:b/>
        </w:rPr>
        <w:t>equity-based“</w:t>
      </w:r>
      <w:r w:rsidRPr="00674790">
        <w:rPr>
          <w:rFonts w:cs="Arial"/>
        </w:rPr>
        <w:t xml:space="preserve"> Modell. Dabei erfolgt keine Kreditgewährung an das Unternehmen sondern es handelt sich um eine Beteiligung. Der Anleger ist damit an der Unternehmung beteiligt. Dies kann z.B. über Genussscheine oder stille Beteiligungen, aber auch durch Aktien und andere Anteilsscheine erfolgen. Hier ist dadurch auch keine Befristung vorgesehen und der Anleger hat darauf zu achten, wie ein Ausstieg bzw. Verkauf realisierbar ist.</w:t>
      </w:r>
    </w:p>
    <w:p w:rsidR="00197D3C" w:rsidRPr="00674790" w:rsidRDefault="00197D3C" w:rsidP="00197D3C">
      <w:pPr>
        <w:rPr>
          <w:rFonts w:cs="Arial"/>
        </w:rPr>
      </w:pPr>
    </w:p>
    <w:p w:rsidR="00B340EA" w:rsidRPr="00674790" w:rsidRDefault="00B340EA">
      <w:pPr>
        <w:rPr>
          <w:rFonts w:cs="Arial"/>
        </w:rPr>
      </w:pPr>
      <w:r w:rsidRPr="00674790">
        <w:rPr>
          <w:rFonts w:cs="Arial"/>
        </w:rPr>
        <w:br w:type="page"/>
      </w:r>
    </w:p>
    <w:p w:rsidR="00674790" w:rsidRDefault="0097128F" w:rsidP="00674790">
      <w:pPr>
        <w:pStyle w:val="berschrift1"/>
      </w:pPr>
      <w:bookmarkStart w:id="6" w:name="_Toc513756839"/>
      <w:r>
        <w:lastRenderedPageBreak/>
        <w:t xml:space="preserve">2 ½ Jahre </w:t>
      </w:r>
      <w:proofErr w:type="spellStart"/>
      <w:r>
        <w:t>AltFG</w:t>
      </w:r>
      <w:proofErr w:type="spellEnd"/>
      <w:r>
        <w:t xml:space="preserve"> in Österreich</w:t>
      </w:r>
      <w:bookmarkEnd w:id="6"/>
    </w:p>
    <w:p w:rsidR="00C873D9" w:rsidRPr="00674790" w:rsidRDefault="00C873D9" w:rsidP="00C873D9">
      <w:pPr>
        <w:pStyle w:val="berschrift2"/>
      </w:pPr>
      <w:bookmarkStart w:id="7" w:name="_Toc513756840"/>
      <w:proofErr w:type="spellStart"/>
      <w:r w:rsidRPr="00674790">
        <w:t>AltFG</w:t>
      </w:r>
      <w:proofErr w:type="spellEnd"/>
      <w:r w:rsidRPr="00674790">
        <w:t xml:space="preserve"> – gesetzliche Regelung in Österreich</w:t>
      </w:r>
      <w:bookmarkEnd w:id="7"/>
    </w:p>
    <w:p w:rsidR="00C873D9" w:rsidRPr="00674790" w:rsidRDefault="00C873D9" w:rsidP="00C873D9">
      <w:pPr>
        <w:rPr>
          <w:rFonts w:cs="Arial"/>
        </w:rPr>
      </w:pPr>
    </w:p>
    <w:p w:rsidR="00C873D9" w:rsidRPr="00674790" w:rsidRDefault="00C873D9" w:rsidP="00C873D9">
      <w:pPr>
        <w:rPr>
          <w:rFonts w:cs="Arial"/>
        </w:rPr>
      </w:pPr>
      <w:r w:rsidRPr="00674790">
        <w:rPr>
          <w:rFonts w:cs="Arial"/>
        </w:rPr>
        <w:t>Der Bedarf einer geregelten Umsetzung von Crowdfunding und –</w:t>
      </w:r>
      <w:proofErr w:type="spellStart"/>
      <w:r w:rsidRPr="00674790">
        <w:rPr>
          <w:rFonts w:cs="Arial"/>
        </w:rPr>
        <w:t>investments</w:t>
      </w:r>
      <w:proofErr w:type="spellEnd"/>
      <w:r w:rsidRPr="00674790">
        <w:rPr>
          <w:rFonts w:cs="Arial"/>
        </w:rPr>
        <w:t xml:space="preserve"> wurde in Österreich früh erkannt. Dabei erkannte man sowohl die Bedeutung für regionale Betriebe und Startups als auch die Erfordernis dem Verbraucher und Anleger eine bestimmte Transparenz zu gewährleisten.</w:t>
      </w:r>
    </w:p>
    <w:p w:rsidR="00C873D9" w:rsidRPr="00674790" w:rsidRDefault="00C873D9" w:rsidP="00C873D9">
      <w:pPr>
        <w:rPr>
          <w:rFonts w:cs="Arial"/>
        </w:rPr>
      </w:pPr>
    </w:p>
    <w:p w:rsidR="00C873D9" w:rsidRPr="00674790" w:rsidRDefault="00C873D9" w:rsidP="00C873D9">
      <w:pPr>
        <w:rPr>
          <w:rFonts w:cs="Arial"/>
        </w:rPr>
      </w:pPr>
      <w:r w:rsidRPr="00674790">
        <w:rPr>
          <w:rFonts w:cs="Arial"/>
        </w:rPr>
        <w:t xml:space="preserve">Zu diesem Zweck trat im September 2015 das  </w:t>
      </w:r>
      <w:r w:rsidRPr="00674790">
        <w:rPr>
          <w:rFonts w:cs="Arial"/>
          <w:b/>
        </w:rPr>
        <w:t xml:space="preserve">Bundesgesetz über alternative Finanzierungsformen (Alternativfinanzierungsgesetz – </w:t>
      </w:r>
      <w:proofErr w:type="spellStart"/>
      <w:r w:rsidRPr="00674790">
        <w:rPr>
          <w:rFonts w:cs="Arial"/>
          <w:b/>
        </w:rPr>
        <w:t>AltFG</w:t>
      </w:r>
      <w:proofErr w:type="spellEnd"/>
      <w:r w:rsidRPr="00674790">
        <w:rPr>
          <w:rFonts w:cs="Arial"/>
          <w:b/>
        </w:rPr>
        <w:t>)</w:t>
      </w:r>
      <w:r w:rsidRPr="00674790">
        <w:rPr>
          <w:rFonts w:cs="Arial"/>
        </w:rPr>
        <w:t xml:space="preserve"> in Kraft. Dieses regelt die Möglichkeiten von alternativen Finanzierungsmöglichkeiten die einen vereinfachten Zugang für Klein- und Mittelstandsbetriebe zur Kapitalbeschaffung benötigen und die Verfahrensweisen und Informationspflichten der Emittenten. </w:t>
      </w:r>
    </w:p>
    <w:p w:rsidR="00C873D9" w:rsidRPr="00674790" w:rsidRDefault="00C873D9" w:rsidP="00C873D9">
      <w:pPr>
        <w:rPr>
          <w:rFonts w:cs="Arial"/>
        </w:rPr>
      </w:pPr>
    </w:p>
    <w:p w:rsidR="00C873D9" w:rsidRPr="00674790" w:rsidRDefault="00C873D9" w:rsidP="00C873D9">
      <w:pPr>
        <w:rPr>
          <w:rFonts w:cs="Arial"/>
        </w:rPr>
      </w:pPr>
      <w:r w:rsidRPr="00674790">
        <w:rPr>
          <w:rFonts w:cs="Arial"/>
        </w:rPr>
        <w:t xml:space="preserve">Man sollte sich bewusst sein, dass dieses Gesetz nicht als Konsumentenschutzgesetz konzipiert ist. Es regelt primär die Möglichkeiten der Kapitalbeschaffung durch alternative Finanzierungsformen und hat auch eine Stärkung des Wirtschaftsstandortes Österreich im Fokus. </w:t>
      </w:r>
    </w:p>
    <w:p w:rsidR="00C873D9" w:rsidRPr="00674790" w:rsidRDefault="00C873D9" w:rsidP="00C873D9">
      <w:pPr>
        <w:rPr>
          <w:rFonts w:cs="Arial"/>
        </w:rPr>
      </w:pPr>
      <w:r w:rsidRPr="00674790">
        <w:rPr>
          <w:rFonts w:cs="Arial"/>
        </w:rPr>
        <w:t xml:space="preserve">Aus Verbrauchergesichtspunkten jedoch bestehen Schutzmechanismen jedoch ausschließlich darin, eine möglichst hohe Transparenz und Informationsbereitstellung zu erzielen. Die Interpretation und Bewertung ist dann Sache des Anleger und Verbrauchers, dessen Wissensstand und Fähigkeiten die entsprechenden Daten zu analysieren werden dabei nicht berücksichtigt. </w:t>
      </w:r>
      <w:proofErr w:type="spellStart"/>
      <w:r w:rsidRPr="00674790">
        <w:rPr>
          <w:rFonts w:cs="Arial"/>
        </w:rPr>
        <w:t>Ebensowenig</w:t>
      </w:r>
      <w:proofErr w:type="spellEnd"/>
      <w:r w:rsidRPr="00674790">
        <w:rPr>
          <w:rFonts w:cs="Arial"/>
        </w:rPr>
        <w:t xml:space="preserve"> wird eine inhaltliche Prüfung zu den Vorhaben, Absichten und Prognosen des Unternehmens festgelegt.</w:t>
      </w:r>
    </w:p>
    <w:p w:rsidR="00C873D9" w:rsidRPr="00674790" w:rsidRDefault="00C873D9" w:rsidP="00C873D9">
      <w:pPr>
        <w:rPr>
          <w:rFonts w:cs="Arial"/>
        </w:rPr>
      </w:pPr>
    </w:p>
    <w:p w:rsidR="00C873D9" w:rsidRPr="00674790" w:rsidRDefault="00C873D9" w:rsidP="00C873D9">
      <w:pPr>
        <w:rPr>
          <w:rFonts w:cs="Arial"/>
        </w:rPr>
      </w:pPr>
      <w:r w:rsidRPr="00674790">
        <w:rPr>
          <w:rFonts w:cs="Arial"/>
        </w:rPr>
        <w:t>Das Gesetz erlaubt als mögliche Finanzierungsformen dabei (§2 Abs.2):</w:t>
      </w:r>
    </w:p>
    <w:p w:rsidR="00C873D9" w:rsidRPr="00674790" w:rsidRDefault="00C873D9" w:rsidP="00C873D9">
      <w:pPr>
        <w:pBdr>
          <w:top w:val="single" w:sz="4" w:space="1" w:color="auto"/>
          <w:left w:val="single" w:sz="4" w:space="4" w:color="auto"/>
          <w:bottom w:val="single" w:sz="4" w:space="1" w:color="auto"/>
          <w:right w:val="single" w:sz="4" w:space="4" w:color="auto"/>
        </w:pBdr>
        <w:rPr>
          <w:rFonts w:cs="Arial"/>
          <w:i/>
        </w:rPr>
      </w:pPr>
      <w:r w:rsidRPr="00674790">
        <w:rPr>
          <w:rFonts w:cs="Arial"/>
          <w:i/>
        </w:rPr>
        <w:t>2.</w:t>
      </w:r>
    </w:p>
    <w:p w:rsidR="00C873D9" w:rsidRPr="00674790" w:rsidRDefault="00C873D9" w:rsidP="00C873D9">
      <w:pPr>
        <w:pBdr>
          <w:top w:val="single" w:sz="4" w:space="1" w:color="auto"/>
          <w:left w:val="single" w:sz="4" w:space="4" w:color="auto"/>
          <w:bottom w:val="single" w:sz="4" w:space="1" w:color="auto"/>
          <w:right w:val="single" w:sz="4" w:space="4" w:color="auto"/>
        </w:pBdr>
        <w:rPr>
          <w:rFonts w:cs="Arial"/>
          <w:i/>
        </w:rPr>
      </w:pPr>
      <w:r w:rsidRPr="00674790">
        <w:rPr>
          <w:rFonts w:cs="Arial"/>
          <w:i/>
        </w:rPr>
        <w:t>alternative Finanzinstrumente: Aktien, Anleihen, Geschäftsanteile an Kapitalgesellschaften und Genossenschaften, Genussrechte, stille Beteiligungen und Nachrangdarlehen, wobei diese, ausgenommen bei Anleihen, keinen unbedingten Rückzahlungsanspruch gewähren dürfen, und, sofern es sich nicht um ein Angebot von Geschäftsanteilen an einer Genossenschaft handelt, keine Verpflichtung zur Leistung eines Nachschusses beinhalten dürfen; die gesetzlichen Bestimmungen über die Unwirksamkeit von Vertragsklauseln bleiben unberührt;</w:t>
      </w:r>
    </w:p>
    <w:p w:rsidR="00C873D9" w:rsidRPr="00674790" w:rsidRDefault="00C873D9" w:rsidP="00C873D9">
      <w:pPr>
        <w:rPr>
          <w:rFonts w:cs="Arial"/>
        </w:rPr>
      </w:pPr>
    </w:p>
    <w:p w:rsidR="00C873D9" w:rsidRPr="00674790" w:rsidRDefault="00C873D9" w:rsidP="00C873D9">
      <w:pPr>
        <w:rPr>
          <w:rFonts w:cs="Arial"/>
        </w:rPr>
      </w:pPr>
      <w:r w:rsidRPr="00674790">
        <w:rPr>
          <w:rFonts w:cs="Arial"/>
        </w:rPr>
        <w:t xml:space="preserve">Durch diese Aufzählung wird verdeutlicht, dass es sich primär nicht um verzinsliche Möglichkeiten handelt, sondern um eine Kapitalbeteiligung an den Unternehmungen inklusive der Übernahme des unternehmerischen Risikos. </w:t>
      </w:r>
    </w:p>
    <w:p w:rsidR="00C873D9" w:rsidRPr="00674790" w:rsidRDefault="00C873D9" w:rsidP="00C873D9">
      <w:pPr>
        <w:rPr>
          <w:rFonts w:cs="Arial"/>
        </w:rPr>
      </w:pPr>
    </w:p>
    <w:p w:rsidR="00C873D9" w:rsidRPr="00674790" w:rsidRDefault="00C873D9" w:rsidP="00C873D9">
      <w:pPr>
        <w:rPr>
          <w:rFonts w:cs="Arial"/>
        </w:rPr>
      </w:pPr>
      <w:r w:rsidRPr="00674790">
        <w:rPr>
          <w:rFonts w:cs="Arial"/>
        </w:rPr>
        <w:t>Ein unbedingter Rückzahlungsanspruch darf nur bei Anleihen gewährt werden. Das bedeutet für den Anleger, dass alle anderen Finanzinstrumente nur unter bestimmten Voraussetzungen rückzahlbar sind. Hier sollte man sich z.B. von der Benennung eines Nachrang</w:t>
      </w:r>
      <w:r w:rsidRPr="00674790">
        <w:rPr>
          <w:rFonts w:cs="Arial"/>
          <w:b/>
        </w:rPr>
        <w:t>darlehns</w:t>
      </w:r>
      <w:r w:rsidRPr="00674790">
        <w:rPr>
          <w:rFonts w:cs="Arial"/>
        </w:rPr>
        <w:t xml:space="preserve"> nicht beeinflussen lassen.</w:t>
      </w:r>
    </w:p>
    <w:p w:rsidR="00C873D9" w:rsidRPr="00674790" w:rsidRDefault="00C873D9" w:rsidP="00C873D9">
      <w:pPr>
        <w:rPr>
          <w:rFonts w:cs="Arial"/>
        </w:rPr>
      </w:pPr>
    </w:p>
    <w:p w:rsidR="00C873D9" w:rsidRPr="00674790" w:rsidRDefault="00C873D9" w:rsidP="00C873D9">
      <w:pPr>
        <w:rPr>
          <w:rFonts w:cs="Arial"/>
        </w:rPr>
      </w:pPr>
      <w:r w:rsidRPr="00674790">
        <w:rPr>
          <w:rFonts w:cs="Arial"/>
        </w:rPr>
        <w:br w:type="page"/>
      </w:r>
    </w:p>
    <w:p w:rsidR="00C873D9" w:rsidRPr="00674790" w:rsidRDefault="00C873D9" w:rsidP="00C873D9">
      <w:pPr>
        <w:rPr>
          <w:rFonts w:cs="Arial"/>
        </w:rPr>
      </w:pPr>
      <w:r w:rsidRPr="00674790">
        <w:rPr>
          <w:rFonts w:cs="Arial"/>
        </w:rPr>
        <w:lastRenderedPageBreak/>
        <w:t>Allerdings wurden bei den Möglichkeiten Summenbegrenzungen eingezogen, die ein Missbrauchen oder bedrohliche Verluste vermeiden sollen.</w:t>
      </w:r>
    </w:p>
    <w:p w:rsidR="00C873D9" w:rsidRPr="00674790" w:rsidRDefault="00C873D9" w:rsidP="00C873D9">
      <w:pPr>
        <w:rPr>
          <w:rFonts w:cs="Arial"/>
        </w:rPr>
      </w:pPr>
    </w:p>
    <w:p w:rsidR="00C873D9" w:rsidRPr="00674790" w:rsidRDefault="00C873D9" w:rsidP="00C873D9">
      <w:pPr>
        <w:pBdr>
          <w:top w:val="single" w:sz="4" w:space="1" w:color="auto"/>
          <w:left w:val="single" w:sz="4" w:space="4" w:color="auto"/>
          <w:bottom w:val="single" w:sz="4" w:space="1" w:color="auto"/>
          <w:right w:val="single" w:sz="4" w:space="4" w:color="auto"/>
        </w:pBdr>
        <w:rPr>
          <w:rFonts w:cs="Arial"/>
          <w:i/>
        </w:rPr>
      </w:pPr>
      <w:r w:rsidRPr="00674790">
        <w:rPr>
          <w:rFonts w:cs="Arial"/>
          <w:i/>
        </w:rPr>
        <w:t>§ 3. (1) Emittenten sind unbeschadet anderer bundesgesetzlicher Regelungen berechtigt, alternative Finanzinstrumente auszugeben, sofern je Emission</w:t>
      </w:r>
    </w:p>
    <w:p w:rsidR="00C873D9" w:rsidRPr="00674790" w:rsidRDefault="00C873D9" w:rsidP="00C873D9">
      <w:pPr>
        <w:pBdr>
          <w:top w:val="single" w:sz="4" w:space="1" w:color="auto"/>
          <w:left w:val="single" w:sz="4" w:space="4" w:color="auto"/>
          <w:bottom w:val="single" w:sz="4" w:space="1" w:color="auto"/>
          <w:right w:val="single" w:sz="4" w:space="4" w:color="auto"/>
        </w:pBdr>
        <w:rPr>
          <w:rFonts w:cs="Arial"/>
          <w:i/>
        </w:rPr>
      </w:pPr>
      <w:r w:rsidRPr="00674790">
        <w:rPr>
          <w:rFonts w:cs="Arial"/>
          <w:i/>
        </w:rPr>
        <w:t>1.</w:t>
      </w:r>
    </w:p>
    <w:p w:rsidR="00C873D9" w:rsidRPr="00674790" w:rsidRDefault="00C873D9" w:rsidP="00C873D9">
      <w:pPr>
        <w:pBdr>
          <w:top w:val="single" w:sz="4" w:space="1" w:color="auto"/>
          <w:left w:val="single" w:sz="4" w:space="4" w:color="auto"/>
          <w:bottom w:val="single" w:sz="4" w:space="1" w:color="auto"/>
          <w:right w:val="single" w:sz="4" w:space="4" w:color="auto"/>
        </w:pBdr>
        <w:rPr>
          <w:rFonts w:cs="Arial"/>
          <w:i/>
        </w:rPr>
      </w:pPr>
      <w:r w:rsidRPr="00674790">
        <w:rPr>
          <w:rFonts w:cs="Arial"/>
          <w:i/>
        </w:rPr>
        <w:t>der Gesamtgegenwert der öffentlich angebotenen alternativen Finanzinstrumente nicht den Betrag von 1,5 Millionen Euro erreicht oder übersteigt und</w:t>
      </w:r>
    </w:p>
    <w:p w:rsidR="00C873D9" w:rsidRPr="00674790" w:rsidRDefault="00C873D9" w:rsidP="00C873D9">
      <w:pPr>
        <w:pBdr>
          <w:top w:val="single" w:sz="4" w:space="1" w:color="auto"/>
          <w:left w:val="single" w:sz="4" w:space="4" w:color="auto"/>
          <w:bottom w:val="single" w:sz="4" w:space="1" w:color="auto"/>
          <w:right w:val="single" w:sz="4" w:space="4" w:color="auto"/>
        </w:pBdr>
        <w:rPr>
          <w:rFonts w:cs="Arial"/>
          <w:i/>
        </w:rPr>
      </w:pPr>
      <w:r w:rsidRPr="00674790">
        <w:rPr>
          <w:rFonts w:cs="Arial"/>
          <w:i/>
        </w:rPr>
        <w:t>2.</w:t>
      </w:r>
    </w:p>
    <w:p w:rsidR="00C873D9" w:rsidRPr="00674790" w:rsidRDefault="00C873D9" w:rsidP="00C873D9">
      <w:pPr>
        <w:pBdr>
          <w:top w:val="single" w:sz="4" w:space="1" w:color="auto"/>
          <w:left w:val="single" w:sz="4" w:space="4" w:color="auto"/>
          <w:bottom w:val="single" w:sz="4" w:space="1" w:color="auto"/>
          <w:right w:val="single" w:sz="4" w:space="4" w:color="auto"/>
        </w:pBdr>
        <w:rPr>
          <w:rFonts w:cs="Arial"/>
          <w:i/>
        </w:rPr>
      </w:pPr>
      <w:r w:rsidRPr="00674790">
        <w:rPr>
          <w:rFonts w:cs="Arial"/>
          <w:i/>
        </w:rPr>
        <w:t>die von einem einzelnen Anleger innerhalb eines Zeitraums von zwölf Monaten entgegengenommenen Beträge einen Gesamtwert von 5 000 Euro nicht übersteigen, es sei denn, es handelt sich um einen professionellen Anleger gemäß § 2 Abs. 1 Z 33 AIFMG oder um eine juristische Person, sofern sie nicht Verbraucher im Sinne des § 1 Abs. 1 Z 2 des Konsumentenschutzgesetzes – KSchG, BGBl. Nr. 140/1979 ist.</w:t>
      </w:r>
    </w:p>
    <w:p w:rsidR="00C873D9" w:rsidRPr="00674790" w:rsidRDefault="00C873D9" w:rsidP="00C873D9">
      <w:pPr>
        <w:pBdr>
          <w:top w:val="single" w:sz="4" w:space="1" w:color="auto"/>
          <w:left w:val="single" w:sz="4" w:space="4" w:color="auto"/>
          <w:bottom w:val="single" w:sz="4" w:space="1" w:color="auto"/>
          <w:right w:val="single" w:sz="4" w:space="4" w:color="auto"/>
        </w:pBdr>
        <w:rPr>
          <w:rFonts w:cs="Arial"/>
          <w:i/>
        </w:rPr>
      </w:pPr>
      <w:r w:rsidRPr="00674790">
        <w:rPr>
          <w:rFonts w:cs="Arial"/>
          <w:i/>
        </w:rPr>
        <w:t xml:space="preserve">Die Vereinbarung über den Erwerb eines alternativen Finanzinstruments darf keine Verpflichtung des Anlegers beinhalten, zu einem späteren Zeitpunkt weitere alternative Finanzinstrumente zu erwerben, durch welche die in Z 2 genannte Grenze überschritten wird. </w:t>
      </w:r>
      <w:proofErr w:type="spellStart"/>
      <w:r w:rsidRPr="00674790">
        <w:rPr>
          <w:rFonts w:cs="Arial"/>
          <w:i/>
        </w:rPr>
        <w:t>Weiters</w:t>
      </w:r>
      <w:proofErr w:type="spellEnd"/>
      <w:r w:rsidRPr="00674790">
        <w:rPr>
          <w:rFonts w:cs="Arial"/>
          <w:i/>
        </w:rPr>
        <w:t xml:space="preserve"> dürfen keine Ratenzahlungen vereinbart werden, welche einen Zeitraum von zwölf Monaten überschreiten.</w:t>
      </w:r>
    </w:p>
    <w:p w:rsidR="00C873D9" w:rsidRPr="00674790" w:rsidRDefault="00C873D9" w:rsidP="00C873D9">
      <w:pPr>
        <w:rPr>
          <w:rFonts w:cs="Arial"/>
        </w:rPr>
      </w:pPr>
    </w:p>
    <w:p w:rsidR="00C873D9" w:rsidRPr="00674790" w:rsidRDefault="00C873D9" w:rsidP="00C873D9">
      <w:pPr>
        <w:rPr>
          <w:rFonts w:cs="Arial"/>
        </w:rPr>
      </w:pPr>
      <w:r w:rsidRPr="00674790">
        <w:rPr>
          <w:rFonts w:cs="Arial"/>
        </w:rPr>
        <w:t>Das bedeutet, dass von einem Verbraucher innerhalb eines Jahres maximal 5.000 Euro in ein spezifisches Projekt investiert werden darf. (Ausnahmen werden gestattet bei Bestätigung durch den Anleger, dass max. das doppelte seines durchschnittlichen monatlichen Nettoeinkommens oder maximal 10% seines Finanzvermögens investiert wird.)</w:t>
      </w:r>
    </w:p>
    <w:p w:rsidR="00C873D9" w:rsidRPr="00674790" w:rsidRDefault="00C873D9" w:rsidP="00C873D9">
      <w:pPr>
        <w:rPr>
          <w:rFonts w:cs="Arial"/>
        </w:rPr>
      </w:pPr>
    </w:p>
    <w:p w:rsidR="00C873D9" w:rsidRPr="00674790" w:rsidRDefault="00C873D9" w:rsidP="00C873D9">
      <w:pPr>
        <w:rPr>
          <w:rFonts w:cs="Arial"/>
        </w:rPr>
      </w:pPr>
      <w:r w:rsidRPr="00674790">
        <w:rPr>
          <w:rFonts w:cs="Arial"/>
        </w:rPr>
        <w:t xml:space="preserve">Auch das Kapitaleinsammeln von Unternehmen wird beschränkt. Je Finanzierungsrunde (Projekt) dürfen maximal &lt; 1,5 </w:t>
      </w:r>
      <w:proofErr w:type="spellStart"/>
      <w:r w:rsidRPr="00674790">
        <w:rPr>
          <w:rFonts w:cs="Arial"/>
        </w:rPr>
        <w:t>Mio</w:t>
      </w:r>
      <w:proofErr w:type="spellEnd"/>
      <w:r w:rsidRPr="00674790">
        <w:rPr>
          <w:rFonts w:cs="Arial"/>
        </w:rPr>
        <w:t xml:space="preserve"> Euro eingesammelt werden. Innerhalb von 5 Jahren können mit mehreren Runden bis zu 5 </w:t>
      </w:r>
      <w:proofErr w:type="spellStart"/>
      <w:r w:rsidRPr="00674790">
        <w:rPr>
          <w:rFonts w:cs="Arial"/>
        </w:rPr>
        <w:t>Mio</w:t>
      </w:r>
      <w:proofErr w:type="spellEnd"/>
      <w:r w:rsidRPr="00674790">
        <w:rPr>
          <w:rFonts w:cs="Arial"/>
        </w:rPr>
        <w:t xml:space="preserve"> Euro eingeholt werden. Darüber hinaus greift dann das Kapitalmarktgesetz und die Emissionen fallen unter die Aufsicht der Finanzmarktaufsicht.</w:t>
      </w:r>
    </w:p>
    <w:p w:rsidR="00C873D9" w:rsidRPr="00674790" w:rsidRDefault="00C873D9" w:rsidP="00C873D9">
      <w:pPr>
        <w:rPr>
          <w:rFonts w:cs="Arial"/>
        </w:rPr>
      </w:pPr>
    </w:p>
    <w:p w:rsidR="00C873D9" w:rsidRPr="00674790" w:rsidRDefault="00C873D9" w:rsidP="00C873D9">
      <w:pPr>
        <w:rPr>
          <w:rFonts w:cs="Arial"/>
        </w:rPr>
      </w:pPr>
      <w:r w:rsidRPr="00674790">
        <w:rPr>
          <w:rFonts w:cs="Arial"/>
        </w:rPr>
        <w:t xml:space="preserve">Diese Beschränkungen sind zwar Absicherungsmaßnahmen gegen Großschäden, für den Kleinanleger, der im theoretischen Fall innerhalb der 5 Jahre 25.000 Euro anlegen konnte, bieten sie keinen Schutz seiner Anlage. </w:t>
      </w:r>
    </w:p>
    <w:p w:rsidR="00C873D9" w:rsidRPr="00674790" w:rsidRDefault="00C873D9" w:rsidP="00C873D9">
      <w:pPr>
        <w:rPr>
          <w:rFonts w:cs="Arial"/>
        </w:rPr>
      </w:pPr>
    </w:p>
    <w:p w:rsidR="00C873D9" w:rsidRPr="00674790" w:rsidRDefault="00C873D9" w:rsidP="00C873D9">
      <w:pPr>
        <w:rPr>
          <w:rFonts w:cs="Arial"/>
        </w:rPr>
      </w:pPr>
      <w:r w:rsidRPr="00674790">
        <w:rPr>
          <w:rFonts w:cs="Arial"/>
        </w:rPr>
        <w:br w:type="page"/>
      </w:r>
    </w:p>
    <w:p w:rsidR="00C873D9" w:rsidRPr="00674790" w:rsidRDefault="00C873D9" w:rsidP="00C873D9">
      <w:pPr>
        <w:rPr>
          <w:rFonts w:cs="Arial"/>
        </w:rPr>
      </w:pPr>
    </w:p>
    <w:p w:rsidR="00DF7D0D" w:rsidRPr="00DF7D0D" w:rsidRDefault="00DF7D0D" w:rsidP="00591742">
      <w:pPr>
        <w:pStyle w:val="berschrift1"/>
      </w:pPr>
      <w:bookmarkStart w:id="8" w:name="_Toc513756841"/>
      <w:r>
        <w:t>Anbieter und Kapitalsucher</w:t>
      </w:r>
      <w:bookmarkEnd w:id="8"/>
    </w:p>
    <w:p w:rsidR="00674790" w:rsidRDefault="00674790" w:rsidP="00674790"/>
    <w:p w:rsidR="00674790" w:rsidRDefault="00674790" w:rsidP="00674790">
      <w:r>
        <w:t xml:space="preserve">Als Datenbasis für die nachfolgenden Aussagen wurden die </w:t>
      </w:r>
      <w:proofErr w:type="spellStart"/>
      <w:r>
        <w:t>Einmeldungen</w:t>
      </w:r>
      <w:proofErr w:type="spellEnd"/>
      <w:r>
        <w:t xml:space="preserve"> im Rahmen des </w:t>
      </w:r>
      <w:proofErr w:type="spellStart"/>
      <w:r>
        <w:t>AltFG</w:t>
      </w:r>
      <w:proofErr w:type="spellEnd"/>
      <w:r>
        <w:t xml:space="preserve"> beim VKI von September 2015 bis einschließlich Januar 2018 zugrunde gelegt. Also der Zeitraum von 29 Monaten.</w:t>
      </w:r>
    </w:p>
    <w:p w:rsidR="00674790" w:rsidRDefault="00674790" w:rsidP="00674790"/>
    <w:p w:rsidR="00674790" w:rsidRDefault="00674790" w:rsidP="00674790">
      <w:r>
        <w:t xml:space="preserve">In diesem Zeitraum gingen 212 </w:t>
      </w:r>
      <w:proofErr w:type="spellStart"/>
      <w:r>
        <w:t>Einmeldungen</w:t>
      </w:r>
      <w:proofErr w:type="spellEnd"/>
      <w:r>
        <w:t xml:space="preserve"> zum </w:t>
      </w:r>
      <w:proofErr w:type="spellStart"/>
      <w:r>
        <w:t>AltFG</w:t>
      </w:r>
      <w:proofErr w:type="spellEnd"/>
      <w:r>
        <w:t xml:space="preserve"> beim VKI ein. Eine Prüfung oder nähere Sichtung erfolgte dabei nicht. Diese Studie ist somit der erste Schritt diese Datenbasis näher zu betrachten um die Verfahrensweisen bewerten zu können.</w:t>
      </w:r>
    </w:p>
    <w:p w:rsidR="00674790" w:rsidRDefault="00674790" w:rsidP="00674790"/>
    <w:p w:rsidR="001B17FD" w:rsidRDefault="00674790" w:rsidP="00674790">
      <w:r>
        <w:t xml:space="preserve">Diese 212 </w:t>
      </w:r>
      <w:proofErr w:type="spellStart"/>
      <w:r>
        <w:t>Einmeldungen</w:t>
      </w:r>
      <w:proofErr w:type="spellEnd"/>
      <w:r>
        <w:t xml:space="preserve"> betrafen 199 </w:t>
      </w:r>
      <w:r w:rsidR="001B17FD">
        <w:t xml:space="preserve">Finanzierungsprojekte der unterschiedlichsten Art. Von gerade gegründeten Unternehmen bis hin zu lange bestehenden Betrieben (der älteste wurde in den 1920ern als Einzelunternehmung gegründet). Von Nischenanbietern bis hin zu Firmen mit globaler Ausrichtung. </w:t>
      </w:r>
    </w:p>
    <w:p w:rsidR="001B17FD" w:rsidRDefault="001B17FD" w:rsidP="00674790">
      <w:r>
        <w:t xml:space="preserve">Es finden sich darunter Startups mit nicht viel mehr als einer guten Geschäftsidee bis </w:t>
      </w:r>
      <w:proofErr w:type="spellStart"/>
      <w:r>
        <w:t>bis</w:t>
      </w:r>
      <w:proofErr w:type="spellEnd"/>
      <w:r>
        <w:t xml:space="preserve"> hin zu Unternehmen mit einem bereits bestehenden Jahresumsatz im 2-stelligen Millionenbereich.</w:t>
      </w:r>
    </w:p>
    <w:p w:rsidR="001B17FD" w:rsidRDefault="001B17FD" w:rsidP="00674790"/>
    <w:p w:rsidR="001B17FD" w:rsidRDefault="001B17FD" w:rsidP="00674790">
      <w:r>
        <w:t>Eine einheitliche Messlatte für so unterschiedliche Unternehmen zu finden ist nicht praktikabel. Allerdings lassen sich bestimmte Gruppen identifizieren.</w:t>
      </w:r>
    </w:p>
    <w:p w:rsidR="001B17FD" w:rsidRDefault="001B17FD" w:rsidP="00674790"/>
    <w:p w:rsidR="001B17FD" w:rsidRDefault="001B17FD" w:rsidP="001D7053">
      <w:pPr>
        <w:pStyle w:val="berschrift2"/>
      </w:pPr>
      <w:bookmarkStart w:id="9" w:name="_Toc513756842"/>
      <w:r>
        <w:t>Bauträger und Immobilienfinanzierungen</w:t>
      </w:r>
      <w:bookmarkEnd w:id="9"/>
    </w:p>
    <w:p w:rsidR="001B17FD" w:rsidRDefault="001B17FD" w:rsidP="001B17FD">
      <w:r>
        <w:t>Diese Gruppe ist einfach abzugrenzen. Es handelt sich dabei um Immobilien- und Liegenschaftsgesellschaften.</w:t>
      </w:r>
    </w:p>
    <w:p w:rsidR="001B17FD" w:rsidRDefault="001B17FD" w:rsidP="001B17FD">
      <w:r>
        <w:t xml:space="preserve">Auffällig ist die Tendenz jedes </w:t>
      </w:r>
      <w:proofErr w:type="gramStart"/>
      <w:r>
        <w:t>größeres Bauprojekt</w:t>
      </w:r>
      <w:proofErr w:type="gramEnd"/>
      <w:r>
        <w:t xml:space="preserve"> als einzelne Projekt-</w:t>
      </w:r>
      <w:proofErr w:type="spellStart"/>
      <w:r>
        <w:t>Gmbh</w:t>
      </w:r>
      <w:proofErr w:type="spellEnd"/>
      <w:r>
        <w:t xml:space="preserve"> auszugestalten, deren Mutter als Gesellschafter auftritt. Die Bauträger sehen die </w:t>
      </w:r>
      <w:proofErr w:type="spellStart"/>
      <w:r>
        <w:t>AltFG</w:t>
      </w:r>
      <w:proofErr w:type="spellEnd"/>
      <w:r>
        <w:t>-Finanzierungen als mögliches Mittel eigenkapitalähnliches Mezzanin-Kapital einzusammeln und so schneller das eigene Kapital für neue Projekte wieder verfügbar zu machen.</w:t>
      </w:r>
    </w:p>
    <w:p w:rsidR="00EA5733" w:rsidRDefault="00EA5733" w:rsidP="001B17FD">
      <w:r>
        <w:t>44 Projekte dieser Gruppe sind auf direkte Projekte bezogen, dabei wurden in der Projektverwendung in 26 (59%) Fällen Eigenmittelersatz oder Eigenmittelergänzung angegeben.</w:t>
      </w:r>
    </w:p>
    <w:p w:rsidR="00EA5733" w:rsidRDefault="00EA5733" w:rsidP="001B17FD"/>
    <w:p w:rsidR="00670ADB" w:rsidRDefault="001B17FD" w:rsidP="001B17FD">
      <w:r>
        <w:t>I</w:t>
      </w:r>
      <w:r w:rsidR="00384849">
        <w:t>m Betrachtungszeitraum wurden 51</w:t>
      </w:r>
      <w:r>
        <w:t xml:space="preserve"> Immobilienfinanzierungsprojekte </w:t>
      </w:r>
      <w:proofErr w:type="spellStart"/>
      <w:r>
        <w:t>eingemeldet</w:t>
      </w:r>
      <w:proofErr w:type="spellEnd"/>
      <w:r>
        <w:t xml:space="preserve">. Die Finanzierung von Immobilien hat somit von der Anzahl her </w:t>
      </w:r>
      <w:r w:rsidR="00670ADB">
        <w:t>einen Anteil von beachtlichen 25</w:t>
      </w:r>
      <w:r w:rsidR="00384849">
        <w:t>,6</w:t>
      </w:r>
      <w:r w:rsidR="00670ADB">
        <w:t xml:space="preserve">%. Betrachtet man das letzte Jahr (1.2.17 bis 31.1.18) waren von 99 </w:t>
      </w:r>
      <w:proofErr w:type="spellStart"/>
      <w:r w:rsidR="00670ADB">
        <w:t>Projekteinmeldungen</w:t>
      </w:r>
      <w:proofErr w:type="spellEnd"/>
      <w:r w:rsidR="00670ADB">
        <w:t xml:space="preserve"> 29 dem Segment Immobilien zuzuordnen (29,3%).</w:t>
      </w:r>
    </w:p>
    <w:p w:rsidR="00EA5733" w:rsidRDefault="00EA5733" w:rsidP="001B17FD"/>
    <w:p w:rsidR="00EA5733" w:rsidRDefault="00EA5733" w:rsidP="001B17FD"/>
    <w:p w:rsidR="00670ADB" w:rsidRDefault="00670ADB" w:rsidP="001B17FD"/>
    <w:p w:rsidR="009F28F8" w:rsidRDefault="009F28F8">
      <w:r>
        <w:br w:type="page"/>
      </w:r>
    </w:p>
    <w:p w:rsidR="00670ADB" w:rsidRDefault="00670ADB" w:rsidP="001D7053">
      <w:pPr>
        <w:pStyle w:val="berschrift2"/>
      </w:pPr>
      <w:bookmarkStart w:id="10" w:name="_Toc513756843"/>
      <w:r>
        <w:lastRenderedPageBreak/>
        <w:t>Startups</w:t>
      </w:r>
      <w:bookmarkEnd w:id="10"/>
    </w:p>
    <w:p w:rsidR="00670ADB" w:rsidRDefault="000663DD" w:rsidP="001B17FD">
      <w:r>
        <w:t>Unter</w:t>
      </w:r>
      <w:r w:rsidR="00670ADB">
        <w:t xml:space="preserve"> </w:t>
      </w:r>
      <w:proofErr w:type="spellStart"/>
      <w:r w:rsidR="00670ADB">
        <w:t>Crowdfinanzierungen</w:t>
      </w:r>
      <w:proofErr w:type="spellEnd"/>
      <w:r w:rsidR="00670ADB">
        <w:t xml:space="preserve"> fallen zuerst meist Startups als Kapitalsammler. Startups in diesem Sinne sind hier alle Unternehmen, die noch keinen geregelten Geschäftsbetrieb aufgebaut haben. Dies betrifft also sowohl Neugründungen in der Anfangsphase als auch echte Startups, die sich noch in der Entwicklungsphase einer Geschäftsidee bzw. deren Weiterentwicklung in die Marktreife befinden.</w:t>
      </w:r>
    </w:p>
    <w:p w:rsidR="00670ADB" w:rsidRDefault="00670ADB" w:rsidP="001B17FD">
      <w:r>
        <w:t>Als Startup wurde eingestuft:</w:t>
      </w:r>
    </w:p>
    <w:p w:rsidR="00670ADB" w:rsidRDefault="00670ADB" w:rsidP="00DF38B1">
      <w:pPr>
        <w:pStyle w:val="Listenabsatz"/>
        <w:numPr>
          <w:ilvl w:val="0"/>
          <w:numId w:val="25"/>
        </w:numPr>
      </w:pPr>
      <w:r>
        <w:t>Unternehmen ohne laufende Umsätze</w:t>
      </w:r>
    </w:p>
    <w:p w:rsidR="00670ADB" w:rsidRDefault="00670ADB" w:rsidP="00DF38B1">
      <w:pPr>
        <w:pStyle w:val="Listenabsatz"/>
        <w:numPr>
          <w:ilvl w:val="0"/>
          <w:numId w:val="25"/>
        </w:numPr>
      </w:pPr>
      <w:r>
        <w:t>Unternehmen, die weniger als 5 Jahre bestehen</w:t>
      </w:r>
    </w:p>
    <w:p w:rsidR="009F28F8" w:rsidRDefault="00670ADB" w:rsidP="00DF38B1">
      <w:pPr>
        <w:pStyle w:val="Listenabsatz"/>
        <w:numPr>
          <w:ilvl w:val="0"/>
          <w:numId w:val="25"/>
        </w:numPr>
      </w:pPr>
      <w:r>
        <w:t xml:space="preserve">Unternehmen, die eine </w:t>
      </w:r>
      <w:r w:rsidR="009F28F8">
        <w:t>Finanzierung ihres Markteintritts suchen</w:t>
      </w:r>
    </w:p>
    <w:p w:rsidR="009F28F8" w:rsidRDefault="009F28F8" w:rsidP="00DF38B1">
      <w:pPr>
        <w:pStyle w:val="Listenabsatz"/>
        <w:numPr>
          <w:ilvl w:val="0"/>
          <w:numId w:val="25"/>
        </w:numPr>
      </w:pPr>
      <w:r>
        <w:t xml:space="preserve">Unternehmen, die aufgrund der eingereichten Unterlagen deutlich machen, dass noch keine übliche Geschäftstätigkeit erfolgt, man sich also noch in der Entwicklungs- oder Markteintrittsphase befindet </w:t>
      </w:r>
    </w:p>
    <w:p w:rsidR="009F28F8" w:rsidRDefault="009F28F8" w:rsidP="00DF38B1">
      <w:pPr>
        <w:pStyle w:val="Listenabsatz"/>
        <w:numPr>
          <w:ilvl w:val="0"/>
          <w:numId w:val="25"/>
        </w:numPr>
      </w:pPr>
      <w:r>
        <w:t>Ausnahme: Neugründungen Immobilien-Projektentwicklungsfirmen</w:t>
      </w:r>
    </w:p>
    <w:p w:rsidR="009F28F8" w:rsidRDefault="009F28F8" w:rsidP="009F28F8">
      <w:r>
        <w:t xml:space="preserve">Die hier gewählte Definition entspricht bewusst nicht dem wissenschaftlichen Ansatz, der Neugründungen nicht automatisch als Startup definiert. Eine Neugründung ist allerdings von der Problemstellung der Bewertung und Einschätzung her eher mit einem Startup als einem KMU zu vergleichen. </w:t>
      </w:r>
      <w:proofErr w:type="spellStart"/>
      <w:r>
        <w:t>Desweiteren</w:t>
      </w:r>
      <w:proofErr w:type="spellEnd"/>
      <w:r>
        <w:t xml:space="preserve"> ist die Abgrenzung über die Innovationshöhe eines Produktes, das es erst zu einem Startup macht äußerst subjektiv. </w:t>
      </w:r>
    </w:p>
    <w:p w:rsidR="009F28F8" w:rsidRDefault="009F28F8" w:rsidP="009F28F8"/>
    <w:p w:rsidR="009F28F8" w:rsidRDefault="009F28F8" w:rsidP="009F28F8">
      <w:r>
        <w:t xml:space="preserve">Im Betrachtungszeitraum waren 81 Projekte in diesem Sinn als Startup anzusehen. 40,7% zeigen, dass </w:t>
      </w:r>
      <w:proofErr w:type="spellStart"/>
      <w:r>
        <w:t>Crowdfinanzierungen</w:t>
      </w:r>
      <w:proofErr w:type="spellEnd"/>
      <w:r>
        <w:t xml:space="preserve"> für Startups eine sehr wohl wichtige Finanzierungsform darstellen können.</w:t>
      </w:r>
    </w:p>
    <w:p w:rsidR="009F28F8" w:rsidRDefault="009F28F8" w:rsidP="009F28F8"/>
    <w:p w:rsidR="009F28F8" w:rsidRDefault="009F28F8" w:rsidP="001D7053">
      <w:pPr>
        <w:pStyle w:val="berschrift2"/>
      </w:pPr>
      <w:bookmarkStart w:id="11" w:name="_Toc513756844"/>
      <w:r>
        <w:t>KMU</w:t>
      </w:r>
      <w:bookmarkEnd w:id="11"/>
    </w:p>
    <w:p w:rsidR="00E14BA2" w:rsidRDefault="00384849" w:rsidP="009F28F8">
      <w:r>
        <w:t>Der übrige Anteil von 67 Projekten wurde durch KMU (Kleine und mittlere Unternehmen) eingereicht. Die Finanzierungen bestehen zumeist bei konkreten Investitionsplänen wie Produktionserweiterungen oder –</w:t>
      </w:r>
      <w:proofErr w:type="spellStart"/>
      <w:r>
        <w:t>erneuerungen</w:t>
      </w:r>
      <w:proofErr w:type="spellEnd"/>
      <w:r>
        <w:t xml:space="preserve">. 33.7% der Stückzahl zeigt, dass auch für KMU eine Finanzierung durch </w:t>
      </w:r>
      <w:proofErr w:type="spellStart"/>
      <w:r>
        <w:t>AltFG</w:t>
      </w:r>
      <w:proofErr w:type="spellEnd"/>
      <w:r>
        <w:t xml:space="preserve"> eine interessante Alternative darstellen kann. Oder es die Möglichkeit bietet, restriktive Kreditvergaben durch Banken zu ersetzen.</w:t>
      </w:r>
    </w:p>
    <w:p w:rsidR="00E14BA2" w:rsidRDefault="00E14BA2" w:rsidP="009F28F8"/>
    <w:p w:rsidR="00B340EA" w:rsidRPr="00674790" w:rsidRDefault="00E14BA2" w:rsidP="009F28F8">
      <w:r>
        <w:rPr>
          <w:noProof/>
          <w:lang w:val="de-AT" w:eastAsia="de-AT"/>
        </w:rPr>
        <w:drawing>
          <wp:anchor distT="0" distB="0" distL="114300" distR="114300" simplePos="0" relativeHeight="251658240" behindDoc="0" locked="0" layoutInCell="1" allowOverlap="1" wp14:anchorId="0A6A963C" wp14:editId="36123079">
            <wp:simplePos x="0" y="0"/>
            <wp:positionH relativeFrom="column">
              <wp:posOffset>1372870</wp:posOffset>
            </wp:positionH>
            <wp:positionV relativeFrom="paragraph">
              <wp:posOffset>-1270</wp:posOffset>
            </wp:positionV>
            <wp:extent cx="2798445" cy="2504440"/>
            <wp:effectExtent l="0" t="0" r="20955" b="10160"/>
            <wp:wrapSquare wrapText="bothSides"/>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B340EA" w:rsidRPr="00674790">
        <w:br w:type="page"/>
      </w:r>
    </w:p>
    <w:p w:rsidR="00EA5733" w:rsidRDefault="00EA5733" w:rsidP="001D7053">
      <w:pPr>
        <w:pStyle w:val="berschrift1"/>
      </w:pPr>
      <w:bookmarkStart w:id="12" w:name="_Toc513756845"/>
      <w:r>
        <w:lastRenderedPageBreak/>
        <w:t>Herkunft der Projekte</w:t>
      </w:r>
      <w:bookmarkEnd w:id="12"/>
    </w:p>
    <w:p w:rsidR="00EA5733" w:rsidRDefault="00EA5733" w:rsidP="00EA5733">
      <w:r>
        <w:t>Die Nutzung des Internets für diese Art der Finanzierung bietet für die Plattformen die Chance international entsprechende Angebote zu lancieren. So wurden auch in Österreich einige Projekte, hauptsächlich aus den Nachbarstaaten, angeboten.</w:t>
      </w:r>
    </w:p>
    <w:p w:rsidR="00BA1013" w:rsidRDefault="00BA1013" w:rsidP="00EA5733"/>
    <w:p w:rsidR="00BA1013" w:rsidRDefault="00BA1013" w:rsidP="00EA5733">
      <w:r>
        <w:t xml:space="preserve">Als Herkunft wurde dabei der im Informationsblatt angegebene Firmensitz des Kapitalnehmers angenommen. </w:t>
      </w:r>
    </w:p>
    <w:p w:rsidR="00BA1013" w:rsidRDefault="00BA1013" w:rsidP="00EA5733">
      <w:r>
        <w:t>So ist der Anbieter aus Uganda (</w:t>
      </w:r>
      <w:proofErr w:type="spellStart"/>
      <w:r>
        <w:t>Solantis</w:t>
      </w:r>
      <w:proofErr w:type="spellEnd"/>
      <w:r>
        <w:t xml:space="preserve"> Solar Ltd.) im wirtschaftlichen Besitz von österreichischen Unternehmen bzw. Privatpersonen.</w:t>
      </w:r>
    </w:p>
    <w:p w:rsidR="00EA5733" w:rsidRDefault="00EA5733" w:rsidP="00EA5733"/>
    <w:p w:rsidR="00F05821" w:rsidRDefault="00F05821" w:rsidP="00EA5733">
      <w:r>
        <w:t>Die inländischen Projektanbieter dominieren jedoch mit 179 der 212 Meldungen (84,4%).</w:t>
      </w:r>
    </w:p>
    <w:p w:rsidR="00F05821" w:rsidRDefault="00F05821" w:rsidP="00EA5733"/>
    <w:p w:rsidR="00F05821" w:rsidRDefault="00F05821" w:rsidP="00EA5733">
      <w:r>
        <w:t>Die Verteilung stellt sich wie folgt dar</w:t>
      </w:r>
    </w:p>
    <w:p w:rsidR="00F05821" w:rsidRDefault="00F05821" w:rsidP="00EA5733">
      <w:pPr>
        <w:rPr>
          <w:noProof/>
          <w:lang w:val="de-AT" w:eastAsia="de-AT"/>
        </w:rPr>
      </w:pPr>
    </w:p>
    <w:p w:rsidR="0019125E" w:rsidRDefault="00F05821" w:rsidP="00EA5733">
      <w:r>
        <w:rPr>
          <w:noProof/>
          <w:lang w:val="de-AT" w:eastAsia="de-AT"/>
        </w:rPr>
        <w:drawing>
          <wp:inline distT="0" distB="0" distL="0" distR="0" wp14:anchorId="72DA6008" wp14:editId="3EA2F716">
            <wp:extent cx="5764696" cy="3514477"/>
            <wp:effectExtent l="0" t="0" r="26670" b="1016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125E" w:rsidRDefault="0019125E" w:rsidP="00EA5733"/>
    <w:p w:rsidR="0019125E" w:rsidRDefault="0019125E" w:rsidP="00EA5733">
      <w:r>
        <w:t>Neben Österreich treten hauptsächlich Kapitalnehmer aus Deutschland auf. (22 insgesamt)</w:t>
      </w:r>
      <w:r w:rsidR="00B91959">
        <w:t>.</w:t>
      </w:r>
    </w:p>
    <w:p w:rsidR="00B91959" w:rsidRDefault="00B91959" w:rsidP="00EA5733"/>
    <w:p w:rsidR="00B91959" w:rsidRDefault="00B91959" w:rsidP="00EA5733">
      <w:r>
        <w:t xml:space="preserve">Dabei tritt die Problematik für Konsumenten auf, dass Teile der Unterlagen wie Firmenbuchauszüge, Grundbuchauszüge und Businesskonzepte nicht in deutscher Sprache verfasst sind. </w:t>
      </w:r>
    </w:p>
    <w:p w:rsidR="0019125E" w:rsidRDefault="0019125E" w:rsidP="00EA5733"/>
    <w:p w:rsidR="00B340EA" w:rsidRPr="00674790" w:rsidRDefault="00B340EA" w:rsidP="00EA5733">
      <w:r w:rsidRPr="00674790">
        <w:br w:type="page"/>
      </w:r>
    </w:p>
    <w:p w:rsidR="00CF0504" w:rsidRDefault="00CF0504" w:rsidP="001D7053">
      <w:pPr>
        <w:pStyle w:val="berschrift1"/>
      </w:pPr>
      <w:bookmarkStart w:id="13" w:name="_Toc513756846"/>
      <w:r>
        <w:lastRenderedPageBreak/>
        <w:t>Entwicklung der Projektmeldungen</w:t>
      </w:r>
      <w:bookmarkEnd w:id="13"/>
    </w:p>
    <w:p w:rsidR="00DF38B1" w:rsidRDefault="00DF38B1" w:rsidP="00DF38B1"/>
    <w:p w:rsidR="00DF38B1" w:rsidRPr="00DF38B1" w:rsidRDefault="00DF38B1" w:rsidP="00DF38B1"/>
    <w:p w:rsidR="00CF0504" w:rsidRDefault="00FE3857" w:rsidP="00DF38B1">
      <w:r w:rsidRPr="00DF38B1">
        <w:rPr>
          <w:noProof/>
          <w:lang w:val="de-AT" w:eastAsia="de-AT"/>
        </w:rPr>
        <w:drawing>
          <wp:inline distT="0" distB="0" distL="0" distR="0" wp14:anchorId="0CEDDB4A" wp14:editId="1C0266A0">
            <wp:extent cx="5923722" cy="3466769"/>
            <wp:effectExtent l="0" t="0" r="20320" b="19685"/>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3857" w:rsidRDefault="00FE3857" w:rsidP="00CF0504">
      <w:pPr>
        <w:pStyle w:val="berschrift3"/>
      </w:pPr>
    </w:p>
    <w:p w:rsidR="00FE3857" w:rsidRDefault="00FE3857" w:rsidP="00FE3857">
      <w:r>
        <w:t xml:space="preserve">Die Anzahl der </w:t>
      </w:r>
      <w:proofErr w:type="spellStart"/>
      <w:r>
        <w:t>Einmeldungen</w:t>
      </w:r>
      <w:proofErr w:type="spellEnd"/>
      <w:r>
        <w:t xml:space="preserve"> zeigt einen stark schwankenden Verlauf. Dies ist auch damit begründet, dass teilweise Meldungen gesammelt durch die Beauftragten Plattformen erfolgen. Die durchschnittliche Zahl der </w:t>
      </w:r>
      <w:proofErr w:type="spellStart"/>
      <w:r>
        <w:t>Einmeldungen</w:t>
      </w:r>
      <w:proofErr w:type="spellEnd"/>
      <w:r>
        <w:t xml:space="preserve"> hat sich im Beobachtungszeitraum jedoch nicht signifikant verändert.</w:t>
      </w:r>
    </w:p>
    <w:p w:rsidR="00FE3857" w:rsidRDefault="00FE3857" w:rsidP="00FE3857">
      <w:r>
        <w:t xml:space="preserve">Die durchschnittlichen </w:t>
      </w:r>
      <w:proofErr w:type="spellStart"/>
      <w:r>
        <w:t>Einmeldungen</w:t>
      </w:r>
      <w:proofErr w:type="spellEnd"/>
      <w:r>
        <w:t xml:space="preserve"> pro Monat lagen bei </w:t>
      </w:r>
      <w:r w:rsidR="00E16991">
        <w:t>7,3</w:t>
      </w:r>
    </w:p>
    <w:p w:rsidR="00FE3857" w:rsidRDefault="00FE3857" w:rsidP="00FE3857"/>
    <w:p w:rsidR="00FE3857" w:rsidRDefault="00FE3857" w:rsidP="00DF38B1">
      <w:pPr>
        <w:pStyle w:val="Listenabsatz"/>
        <w:numPr>
          <w:ilvl w:val="0"/>
          <w:numId w:val="26"/>
        </w:numPr>
      </w:pPr>
      <w:r>
        <w:t>2015 – 6,5 (September bis Dezember)</w:t>
      </w:r>
    </w:p>
    <w:p w:rsidR="00FE3857" w:rsidRDefault="00FE3857" w:rsidP="00DF38B1">
      <w:pPr>
        <w:pStyle w:val="Listenabsatz"/>
        <w:numPr>
          <w:ilvl w:val="0"/>
          <w:numId w:val="26"/>
        </w:numPr>
      </w:pPr>
      <w:r>
        <w:t>2016 – 6,3</w:t>
      </w:r>
    </w:p>
    <w:p w:rsidR="00FE3857" w:rsidRDefault="00FE3857" w:rsidP="00DF38B1">
      <w:pPr>
        <w:pStyle w:val="Listenabsatz"/>
        <w:numPr>
          <w:ilvl w:val="0"/>
          <w:numId w:val="26"/>
        </w:numPr>
      </w:pPr>
      <w:r>
        <w:t>2017 – 8,5</w:t>
      </w:r>
    </w:p>
    <w:p w:rsidR="00DF38B1" w:rsidRDefault="00FE3857" w:rsidP="00DF38B1">
      <w:pPr>
        <w:pStyle w:val="Listenabsatz"/>
        <w:numPr>
          <w:ilvl w:val="0"/>
          <w:numId w:val="26"/>
        </w:numPr>
      </w:pPr>
      <w:r>
        <w:t>2018 – 8,0 (nur Jänner)</w:t>
      </w:r>
    </w:p>
    <w:p w:rsidR="00DF38B1" w:rsidRDefault="00DF38B1" w:rsidP="00DF38B1"/>
    <w:p w:rsidR="00DF38B1" w:rsidRDefault="00DF38B1">
      <w:r>
        <w:br w:type="page"/>
      </w:r>
    </w:p>
    <w:p w:rsidR="00DF38B1" w:rsidRDefault="00DF38B1" w:rsidP="00591742">
      <w:pPr>
        <w:pStyle w:val="berschrift1"/>
      </w:pPr>
      <w:bookmarkStart w:id="14" w:name="_Toc513756847"/>
      <w:r>
        <w:lastRenderedPageBreak/>
        <w:t xml:space="preserve">Qualität der </w:t>
      </w:r>
      <w:proofErr w:type="spellStart"/>
      <w:r>
        <w:t>Einmeldungen</w:t>
      </w:r>
      <w:bookmarkEnd w:id="14"/>
      <w:proofErr w:type="spellEnd"/>
    </w:p>
    <w:p w:rsidR="00DF38B1" w:rsidRDefault="00DF38B1" w:rsidP="00DF38B1">
      <w:r>
        <w:t xml:space="preserve">Die gesetzlichen Regelungen zur </w:t>
      </w:r>
      <w:proofErr w:type="spellStart"/>
      <w:r>
        <w:t>Einmeldung</w:t>
      </w:r>
      <w:proofErr w:type="spellEnd"/>
      <w:r>
        <w:t xml:space="preserve"> be</w:t>
      </w:r>
      <w:r w:rsidR="002C7DF2">
        <w:t xml:space="preserve">inhalten </w:t>
      </w:r>
      <w:proofErr w:type="spellStart"/>
      <w:r w:rsidR="002C7DF2">
        <w:t>gem</w:t>
      </w:r>
      <w:proofErr w:type="spellEnd"/>
      <w:r w:rsidR="002C7DF2">
        <w:t xml:space="preserve"> §4 Abs. 1und </w:t>
      </w:r>
      <w:r>
        <w:t xml:space="preserve"> lt. </w:t>
      </w:r>
      <w:r w:rsidR="002C7DF2">
        <w:t xml:space="preserve">Zugehöriger </w:t>
      </w:r>
      <w:r>
        <w:t>Verordnung</w:t>
      </w:r>
    </w:p>
    <w:p w:rsidR="00DF38B1" w:rsidRDefault="00DF38B1" w:rsidP="00DF38B1"/>
    <w:p w:rsidR="002C7DF2" w:rsidRDefault="002C7DF2" w:rsidP="002C7DF2">
      <w:pPr>
        <w:pStyle w:val="Listenabsatz"/>
        <w:numPr>
          <w:ilvl w:val="0"/>
          <w:numId w:val="28"/>
        </w:numPr>
        <w:ind w:left="851" w:hanging="481"/>
      </w:pPr>
      <w:r>
        <w:t xml:space="preserve">Das Formblatt </w:t>
      </w:r>
    </w:p>
    <w:p w:rsidR="002C7DF2" w:rsidRDefault="002C7DF2" w:rsidP="002C7DF2">
      <w:pPr>
        <w:pStyle w:val="Listenabsatz"/>
        <w:numPr>
          <w:ilvl w:val="0"/>
          <w:numId w:val="28"/>
        </w:numPr>
        <w:ind w:left="851" w:hanging="481"/>
      </w:pPr>
      <w:r>
        <w:t>Aktueller Jahresabschluss oder Eröffnungsbilanz</w:t>
      </w:r>
    </w:p>
    <w:p w:rsidR="002C7DF2" w:rsidRDefault="002C7DF2" w:rsidP="002C7DF2">
      <w:pPr>
        <w:pStyle w:val="Listenabsatz"/>
        <w:numPr>
          <w:ilvl w:val="0"/>
          <w:numId w:val="28"/>
        </w:numPr>
        <w:ind w:left="851" w:hanging="481"/>
      </w:pPr>
      <w:r>
        <w:t xml:space="preserve">Geschäftsplan </w:t>
      </w:r>
    </w:p>
    <w:p w:rsidR="002C7DF2" w:rsidRDefault="002C7DF2" w:rsidP="002C7DF2">
      <w:pPr>
        <w:pStyle w:val="Listenabsatz"/>
        <w:numPr>
          <w:ilvl w:val="0"/>
          <w:numId w:val="28"/>
        </w:numPr>
        <w:ind w:left="851" w:hanging="481"/>
      </w:pPr>
      <w:r>
        <w:t>Angestrebtes Emissionsvolumen</w:t>
      </w:r>
    </w:p>
    <w:p w:rsidR="002C7DF2" w:rsidRDefault="002C7DF2" w:rsidP="002C7DF2">
      <w:pPr>
        <w:pStyle w:val="Listenabsatz"/>
        <w:numPr>
          <w:ilvl w:val="0"/>
          <w:numId w:val="28"/>
        </w:numPr>
        <w:ind w:left="851" w:hanging="481"/>
      </w:pPr>
      <w:r>
        <w:t>Vorgehen bei Nichterreichen (in der Regel im Formblatt angegeben)</w:t>
      </w:r>
    </w:p>
    <w:p w:rsidR="002C7DF2" w:rsidRDefault="002C7DF2" w:rsidP="002C7DF2">
      <w:pPr>
        <w:pStyle w:val="Listenabsatz"/>
        <w:numPr>
          <w:ilvl w:val="0"/>
          <w:numId w:val="28"/>
        </w:numPr>
        <w:ind w:left="851" w:hanging="481"/>
      </w:pPr>
      <w:r>
        <w:t>Vertragsbedingungen</w:t>
      </w:r>
    </w:p>
    <w:p w:rsidR="002C7DF2" w:rsidRDefault="002C7DF2" w:rsidP="002C7DF2">
      <w:pPr>
        <w:pStyle w:val="Listenabsatz"/>
        <w:numPr>
          <w:ilvl w:val="0"/>
          <w:numId w:val="28"/>
        </w:numPr>
        <w:ind w:left="851" w:hanging="481"/>
      </w:pPr>
      <w:r>
        <w:t>Vom Emittenten darüberhinausgehende Angaben</w:t>
      </w:r>
    </w:p>
    <w:p w:rsidR="002C7DF2" w:rsidRDefault="002C7DF2" w:rsidP="002C7DF2"/>
    <w:p w:rsidR="002C7DF2" w:rsidRDefault="002C7DF2" w:rsidP="002C7DF2">
      <w:r>
        <w:t>In der Folge sind gem. §4 Abs. 3 die Jahresabschlüsse zu veröffentlichen und wesentliche Änderungen der obigen Angaben zu melden.</w:t>
      </w:r>
    </w:p>
    <w:p w:rsidR="002C7DF2" w:rsidRDefault="002C7DF2" w:rsidP="002C7DF2"/>
    <w:p w:rsidR="002C7DF2" w:rsidRDefault="002C7DF2" w:rsidP="002C7DF2">
      <w:r>
        <w:t xml:space="preserve">Die dem VKI zugehenden Unterlagen weisen eine stark unterschiedliche Quantität und Qualität auf, wobei die gesetzlichen Vorgaben weitestgehend eingehalten werden. Während zum Teil sehr umfangreiche Unterlagen mit Jahresabschlüssen und Firmenbuchauszügen auch von Muttergesellschaften, Produkt- und Marktanalysen, </w:t>
      </w:r>
      <w:r w:rsidR="005A37F4">
        <w:t>bewerbende Prospekte, Planrechnungen etc. eingereicht werden, beschränken sich andere auf die gesetzlichen Vorgaben.</w:t>
      </w:r>
    </w:p>
    <w:p w:rsidR="005A37F4" w:rsidRDefault="005A37F4" w:rsidP="002C7DF2">
      <w:r>
        <w:t xml:space="preserve">Geht man davon aus, dass die beim VKI eingehenden Unterlagen den Informationen entsprechen, die auch die Anleger erhalten, ist hier dringend ein genauerer Regelungsbedarf vorhanden. Insbesondere die Strukturierung der Angaben in Form eines </w:t>
      </w:r>
      <w:proofErr w:type="spellStart"/>
      <w:r>
        <w:t>Managment</w:t>
      </w:r>
      <w:proofErr w:type="spellEnd"/>
      <w:r>
        <w:t xml:space="preserve"> Summarys oder strukturierten Kurzinfo wäre aus Transparenzgesichtspunkten dringend anzuraten. </w:t>
      </w:r>
    </w:p>
    <w:p w:rsidR="005A37F4" w:rsidRDefault="005A37F4" w:rsidP="002C7DF2">
      <w:r>
        <w:t>Der Vergleich verschiedener Projekte ist im augenblicklichen Stand nur sehr mühsam und von einem Kleinanleger kaum machbaren Aufwand begleitet.</w:t>
      </w:r>
    </w:p>
    <w:p w:rsidR="00B77600" w:rsidRDefault="00B77600" w:rsidP="002C7DF2"/>
    <w:p w:rsidR="00B77600" w:rsidRDefault="00B77600" w:rsidP="002C7DF2">
      <w:r>
        <w:t xml:space="preserve">Eine Vereinheitlichung auf dem Formblatt bzw. eine Kundenkurzinformation die die wesentlichen Punkte der Anlage zusammenfasst, insbesondere auch die Darstellung und Prognose von Renditebeeinflussenden Kennzahlen wäre dringend wünschenswert. </w:t>
      </w:r>
    </w:p>
    <w:p w:rsidR="00B77600" w:rsidRDefault="00B77600">
      <w:r>
        <w:br w:type="page"/>
      </w:r>
    </w:p>
    <w:p w:rsidR="00C2574F" w:rsidRDefault="00C2574F" w:rsidP="002C7DF2"/>
    <w:p w:rsidR="00C2574F" w:rsidRDefault="00C2574F" w:rsidP="00C2574F">
      <w:pPr>
        <w:pStyle w:val="berschrift4"/>
      </w:pPr>
      <w:r>
        <w:t>Das Formblatt</w:t>
      </w:r>
    </w:p>
    <w:p w:rsidR="00C2574F" w:rsidRDefault="00C2574F" w:rsidP="00C2574F">
      <w:r>
        <w:t xml:space="preserve">Das Formblatt soll einen komprimierten Überblick für die Anleger bieten. </w:t>
      </w:r>
      <w:r w:rsidR="006B5E82">
        <w:t xml:space="preserve">Durch die sehr wohl notwendigen Hinweise sind allerdings die Daten für den Anleger nur schwer aufzunehmen. Als Beispiel sind die Angaben über die Verzinsung oft erst auf der 2. Oder 3. Seite (je nach Umfang der Eintragungen) ersichtlich. </w:t>
      </w:r>
      <w:proofErr w:type="spellStart"/>
      <w:r w:rsidR="006B5E82">
        <w:t>Fundinglimit</w:t>
      </w:r>
      <w:proofErr w:type="spellEnd"/>
      <w:r w:rsidR="006B5E82">
        <w:t xml:space="preserve"> (beabsichtigte </w:t>
      </w:r>
      <w:proofErr w:type="spellStart"/>
      <w:r w:rsidR="006B5E82">
        <w:t>Fundingsumme</w:t>
      </w:r>
      <w:proofErr w:type="spellEnd"/>
      <w:r w:rsidR="006B5E82">
        <w:t xml:space="preserve">) und </w:t>
      </w:r>
      <w:proofErr w:type="spellStart"/>
      <w:r w:rsidR="006B5E82">
        <w:t>Fundingschwelle</w:t>
      </w:r>
      <w:proofErr w:type="spellEnd"/>
      <w:r w:rsidR="006B5E82">
        <w:t xml:space="preserve"> (ab wann das </w:t>
      </w:r>
      <w:proofErr w:type="spellStart"/>
      <w:r w:rsidR="006B5E82">
        <w:t>Funding</w:t>
      </w:r>
      <w:proofErr w:type="spellEnd"/>
      <w:r w:rsidR="006B5E82">
        <w:t xml:space="preserve"> als erfolgreich gilt und der Emittent nicht zurücktritt) werden oft erst gar nicht genannt und sind über die Vertragsbedingungen bzw. dem Vertrag zu entnehmen.</w:t>
      </w:r>
    </w:p>
    <w:p w:rsidR="006B5E82" w:rsidRDefault="006B5E82" w:rsidP="00C2574F">
      <w:r>
        <w:t xml:space="preserve">Dabei </w:t>
      </w:r>
      <w:r w:rsidR="0017345E">
        <w:t xml:space="preserve">erfolgen dann zum Ende des Formblatts wiederum Angaben, dass der Emittent eine Erhöhung des </w:t>
      </w:r>
      <w:proofErr w:type="spellStart"/>
      <w:r w:rsidR="0017345E">
        <w:t>Fundinglimits</w:t>
      </w:r>
      <w:proofErr w:type="spellEnd"/>
      <w:r w:rsidR="0017345E">
        <w:t xml:space="preserve"> einseitig durchführen kann. </w:t>
      </w:r>
    </w:p>
    <w:p w:rsidR="0017345E" w:rsidRDefault="0017345E" w:rsidP="00C2574F"/>
    <w:p w:rsidR="0017345E" w:rsidRDefault="0017345E" w:rsidP="00C2574F">
      <w:r>
        <w:t xml:space="preserve">Auf der 1. Seite sind meist „nur“ Kapitalstruktur nach Stimmrecht und nach Dauer und Reihenfolge im Insolvenzfall aufgelistet. </w:t>
      </w:r>
    </w:p>
    <w:p w:rsidR="0017345E" w:rsidRDefault="0017345E" w:rsidP="00C2574F"/>
    <w:p w:rsidR="0017345E" w:rsidRDefault="0017345E" w:rsidP="00C2574F">
      <w:r>
        <w:t>Für den Anleger interessante Angaben wie Volumen, Zinsen, Laufzeit und Wirtschaftliche Darstellung des Unternehmens sind aufwändig zusammenzusuchen und nicht übersichtlich dargestellt.</w:t>
      </w:r>
    </w:p>
    <w:p w:rsidR="00564BAC" w:rsidRDefault="00564BAC" w:rsidP="00C2574F"/>
    <w:p w:rsidR="00564BAC" w:rsidRDefault="00564BAC" w:rsidP="00C2574F">
      <w:r>
        <w:t>Eine Angabe des Stands der Angaben sollte durchgängig vorgeschrieben sein. Der Stand der Angaben ist nicht zwingend mit dem Datum der Erstellung des Formblatts identisch.</w:t>
      </w:r>
    </w:p>
    <w:p w:rsidR="001D7053" w:rsidRDefault="001D7053" w:rsidP="00C2574F"/>
    <w:p w:rsidR="001D7053" w:rsidRPr="00674790" w:rsidRDefault="001D7053" w:rsidP="001D7053">
      <w:pPr>
        <w:pStyle w:val="berschrift2"/>
      </w:pPr>
      <w:bookmarkStart w:id="15" w:name="_Toc513756848"/>
      <w:r w:rsidRPr="00674790">
        <w:t>Information als Schutz</w:t>
      </w:r>
      <w:bookmarkEnd w:id="15"/>
    </w:p>
    <w:p w:rsidR="001D7053" w:rsidRPr="00674790" w:rsidRDefault="001D7053" w:rsidP="001D7053">
      <w:pPr>
        <w:rPr>
          <w:rFonts w:cs="Arial"/>
        </w:rPr>
      </w:pPr>
      <w:r w:rsidRPr="00674790">
        <w:rPr>
          <w:rFonts w:cs="Arial"/>
        </w:rPr>
        <w:t xml:space="preserve">Der Schutzgedanke im </w:t>
      </w:r>
      <w:proofErr w:type="spellStart"/>
      <w:r w:rsidRPr="00674790">
        <w:rPr>
          <w:rFonts w:cs="Arial"/>
        </w:rPr>
        <w:t>AltFG</w:t>
      </w:r>
      <w:proofErr w:type="spellEnd"/>
      <w:r w:rsidRPr="00674790">
        <w:rPr>
          <w:rFonts w:cs="Arial"/>
        </w:rPr>
        <w:t xml:space="preserve"> fußt auf umfassender Information des Anlegers vor der Anlage. In diesem Sinne regelt eine Verordnung über die notwendigen Unterlagen, die einem Anleger zur Verfügung gestellt werden müssen.</w:t>
      </w:r>
    </w:p>
    <w:p w:rsidR="001D7053" w:rsidRPr="00674790" w:rsidRDefault="001D7053" w:rsidP="001D7053">
      <w:pPr>
        <w:rPr>
          <w:rFonts w:cs="Arial"/>
        </w:rPr>
      </w:pPr>
      <w:r w:rsidRPr="00674790">
        <w:rPr>
          <w:rFonts w:cs="Arial"/>
        </w:rPr>
        <w:t>Kernstück der Informationen ist ein entsprechendes Formblatt, das in der Vorordnung inhaltlich festgelegt ist.</w:t>
      </w:r>
    </w:p>
    <w:p w:rsidR="001D7053" w:rsidRPr="00674790" w:rsidRDefault="001D7053" w:rsidP="001D7053">
      <w:pPr>
        <w:rPr>
          <w:rFonts w:cs="Arial"/>
          <w:sz w:val="18"/>
        </w:rPr>
      </w:pPr>
      <w:r w:rsidRPr="00674790">
        <w:rPr>
          <w:rFonts w:cs="Arial"/>
          <w:sz w:val="18"/>
        </w:rPr>
        <w:t xml:space="preserve">Verordnung: </w:t>
      </w:r>
      <w:hyperlink r:id="rId16" w:history="1">
        <w:r w:rsidRPr="00674790">
          <w:rPr>
            <w:rStyle w:val="Hyperlink"/>
            <w:rFonts w:cs="Arial"/>
            <w:sz w:val="18"/>
          </w:rPr>
          <w:t>https://www.ris.bka.gv.at/GeltendeFassung.wxe?Abfrage=Bundesnormen&amp;Gesetzesnummer=20009263</w:t>
        </w:r>
      </w:hyperlink>
      <w:r w:rsidRPr="00674790">
        <w:rPr>
          <w:rFonts w:cs="Arial"/>
          <w:sz w:val="18"/>
        </w:rPr>
        <w:t xml:space="preserve"> </w:t>
      </w:r>
    </w:p>
    <w:p w:rsidR="001D7053" w:rsidRPr="00674790" w:rsidRDefault="001D7053" w:rsidP="001D7053">
      <w:pPr>
        <w:rPr>
          <w:rFonts w:cs="Arial"/>
        </w:rPr>
      </w:pPr>
    </w:p>
    <w:p w:rsidR="001D7053" w:rsidRPr="00674790" w:rsidRDefault="001D7053" w:rsidP="001D7053">
      <w:pPr>
        <w:rPr>
          <w:rFonts w:cs="Arial"/>
        </w:rPr>
      </w:pPr>
      <w:r w:rsidRPr="00674790">
        <w:rPr>
          <w:rFonts w:cs="Arial"/>
        </w:rPr>
        <w:t xml:space="preserve">Neben den Angaben zum Emittenten beinhaltet das Formblatt auch Angaben zur Kapitalstruktur und Reihenfolge im Insolvenzfall. </w:t>
      </w:r>
      <w:proofErr w:type="spellStart"/>
      <w:r w:rsidRPr="00674790">
        <w:rPr>
          <w:rFonts w:cs="Arial"/>
        </w:rPr>
        <w:t>Desweiteren</w:t>
      </w:r>
      <w:proofErr w:type="spellEnd"/>
      <w:r w:rsidRPr="00674790">
        <w:rPr>
          <w:rFonts w:cs="Arial"/>
        </w:rPr>
        <w:t xml:space="preserve"> wird das Finanzierungsinstrument und die damit zusammenhängenden Eckpunkte dargestellt.</w:t>
      </w:r>
    </w:p>
    <w:p w:rsidR="00093193" w:rsidRDefault="00093193">
      <w:pPr>
        <w:rPr>
          <w:rFonts w:cs="Arial"/>
        </w:rPr>
      </w:pPr>
      <w:r>
        <w:rPr>
          <w:rFonts w:cs="Arial"/>
        </w:rPr>
        <w:br w:type="page"/>
      </w:r>
    </w:p>
    <w:p w:rsidR="001D7053" w:rsidRPr="00674790" w:rsidRDefault="001D7053" w:rsidP="001D7053">
      <w:pPr>
        <w:rPr>
          <w:rFonts w:cs="Arial"/>
        </w:rPr>
      </w:pPr>
    </w:p>
    <w:p w:rsidR="001D7053" w:rsidRPr="00C873D9" w:rsidRDefault="001D7053" w:rsidP="001D7053">
      <w:pPr>
        <w:pStyle w:val="berschrift3"/>
      </w:pPr>
      <w:bookmarkStart w:id="16" w:name="_Toc513756849"/>
      <w:r w:rsidRPr="00C873D9">
        <w:t>1. Angaben über den Emittenten</w:t>
      </w:r>
      <w:bookmarkEnd w:id="16"/>
    </w:p>
    <w:tbl>
      <w:tblPr>
        <w:tblW w:w="0" w:type="auto"/>
        <w:tblBorders>
          <w:top w:val="single" w:sz="4" w:space="0" w:color="auto"/>
          <w:left w:val="single" w:sz="4" w:space="0" w:color="auto"/>
          <w:bottom w:val="single" w:sz="4" w:space="0" w:color="auto"/>
          <w:right w:val="single" w:sz="4" w:space="0" w:color="auto"/>
        </w:tblBorders>
        <w:shd w:val="clear" w:color="auto" w:fill="F9F9F9"/>
        <w:tblCellMar>
          <w:top w:w="15" w:type="dxa"/>
          <w:left w:w="15" w:type="dxa"/>
          <w:bottom w:w="15" w:type="dxa"/>
          <w:right w:w="15" w:type="dxa"/>
        </w:tblCellMar>
        <w:tblLook w:val="04A0" w:firstRow="1" w:lastRow="0" w:firstColumn="1" w:lastColumn="0" w:noHBand="0" w:noVBand="1"/>
      </w:tblPr>
      <w:tblGrid>
        <w:gridCol w:w="4322"/>
        <w:gridCol w:w="4322"/>
      </w:tblGrid>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Rechtsform</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Firma</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Sitz</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Telefon</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E-Mail</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Internet-Adresse</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Firmenbuchnummer</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UID-Nummer</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Gewerbeschein(e)</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Kapitalstruktur in Tausend Euro, differenziert nach</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Stimmrecht,</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Dauer,</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Reihenfolge im Insolvenzfall</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rPr>
                <w:rFonts w:cs="Arial"/>
                <w:color w:val="000000"/>
                <w:sz w:val="19"/>
                <w:szCs w:val="19"/>
                <w:lang w:val="de-AT" w:eastAsia="de-AT"/>
              </w:rPr>
            </w:pPr>
            <w:proofErr w:type="spellStart"/>
            <w:r w:rsidRPr="00674790">
              <w:rPr>
                <w:rFonts w:cs="Arial"/>
                <w:color w:val="000000"/>
                <w:sz w:val="19"/>
                <w:szCs w:val="19"/>
                <w:lang w:val="de-AT" w:eastAsia="de-AT"/>
              </w:rPr>
              <w:t>Organwalter</w:t>
            </w:r>
            <w:proofErr w:type="spellEnd"/>
            <w:r w:rsidRPr="00674790">
              <w:rPr>
                <w:rFonts w:cs="Arial"/>
                <w:color w:val="000000"/>
                <w:sz w:val="19"/>
                <w:szCs w:val="19"/>
                <w:lang w:val="de-AT" w:eastAsia="de-AT"/>
              </w:rPr>
              <w:t xml:space="preserve"> (</w:t>
            </w:r>
            <w:proofErr w:type="spellStart"/>
            <w:r w:rsidRPr="00674790">
              <w:rPr>
                <w:rFonts w:cs="Arial"/>
                <w:color w:val="000000"/>
                <w:sz w:val="19"/>
                <w:szCs w:val="19"/>
                <w:lang w:val="de-AT" w:eastAsia="de-AT"/>
              </w:rPr>
              <w:t>zB</w:t>
            </w:r>
            <w:proofErr w:type="spellEnd"/>
            <w:r w:rsidRPr="00674790">
              <w:rPr>
                <w:rFonts w:cs="Arial"/>
                <w:color w:val="000000"/>
                <w:sz w:val="19"/>
                <w:szCs w:val="19"/>
                <w:lang w:val="de-AT" w:eastAsia="de-AT"/>
              </w:rPr>
              <w:t>. Geschäftsführer)</w:t>
            </w:r>
          </w:p>
        </w:tc>
        <w:tc>
          <w:tcPr>
            <w:tcW w:w="4322" w:type="dxa"/>
            <w:shd w:val="clear" w:color="auto" w:fill="F9F9F9"/>
            <w:tcMar>
              <w:top w:w="0" w:type="dxa"/>
              <w:left w:w="108" w:type="dxa"/>
              <w:bottom w:w="0" w:type="dxa"/>
              <w:right w:w="108" w:type="dxa"/>
            </w:tcMar>
            <w:hideMark/>
          </w:tcPr>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[Name, Funktion]</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[Anschrift]</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Eigentümer</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Wirtschaftliche Eigentümer mit Beteiligung von wenigstens 25%, im Fall von juristischen Personen mit Firmenbuchauszug</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[Name bzw. Firma]</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[Anschrift]</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[Name bzw. Firma]</w:t>
            </w:r>
          </w:p>
        </w:tc>
      </w:tr>
      <w:tr w:rsidR="001D7053" w:rsidRPr="00674790" w:rsidTr="008F33AC">
        <w:tc>
          <w:tcPr>
            <w:tcW w:w="4322" w:type="dxa"/>
            <w:shd w:val="clear" w:color="auto" w:fill="F9F9F9"/>
            <w:tcMar>
              <w:top w:w="0" w:type="dxa"/>
              <w:left w:w="108" w:type="dxa"/>
              <w:bottom w:w="0" w:type="dxa"/>
              <w:right w:w="108" w:type="dxa"/>
            </w:tcMar>
            <w:vAlign w:val="center"/>
            <w:hideMark/>
          </w:tcPr>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Unternehmensgegenstand</w:t>
            </w:r>
          </w:p>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 </w:t>
            </w:r>
          </w:p>
        </w:tc>
      </w:tr>
      <w:tr w:rsidR="001D7053" w:rsidRPr="00674790" w:rsidTr="008F33AC">
        <w:tc>
          <w:tcPr>
            <w:tcW w:w="4322" w:type="dxa"/>
            <w:shd w:val="clear" w:color="auto" w:fill="F9F9F9"/>
            <w:tcMar>
              <w:top w:w="0" w:type="dxa"/>
              <w:left w:w="108" w:type="dxa"/>
              <w:bottom w:w="0" w:type="dxa"/>
              <w:right w:w="108" w:type="dxa"/>
            </w:tcMar>
            <w:vAlign w:val="center"/>
            <w:hideMark/>
          </w:tcPr>
          <w:p w:rsidR="001D7053" w:rsidRPr="00674790" w:rsidRDefault="001D7053" w:rsidP="008F33AC">
            <w:pPr>
              <w:rPr>
                <w:rFonts w:cs="Arial"/>
                <w:color w:val="000000"/>
                <w:sz w:val="19"/>
                <w:szCs w:val="19"/>
                <w:lang w:val="de-AT" w:eastAsia="de-AT"/>
              </w:rPr>
            </w:pPr>
            <w:r w:rsidRPr="00674790">
              <w:rPr>
                <w:rFonts w:cs="Arial"/>
                <w:color w:val="000000"/>
                <w:sz w:val="19"/>
                <w:szCs w:val="19"/>
                <w:lang w:val="de-AT" w:eastAsia="de-AT"/>
              </w:rPr>
              <w:t>Beschreibung des geplanten Produkts oder der geplanten Dienstleistung</w:t>
            </w:r>
          </w:p>
        </w:tc>
        <w:tc>
          <w:tcPr>
            <w:tcW w:w="0" w:type="auto"/>
            <w:shd w:val="clear" w:color="auto" w:fill="F9F9F9"/>
            <w:vAlign w:val="center"/>
            <w:hideMark/>
          </w:tcPr>
          <w:p w:rsidR="001D7053" w:rsidRPr="00674790" w:rsidRDefault="001D7053" w:rsidP="008F33AC">
            <w:pPr>
              <w:rPr>
                <w:rFonts w:cs="Arial"/>
                <w:sz w:val="20"/>
                <w:szCs w:val="20"/>
                <w:lang w:eastAsia="de-AT"/>
              </w:rPr>
            </w:pPr>
          </w:p>
        </w:tc>
      </w:tr>
    </w:tbl>
    <w:p w:rsidR="001D7053" w:rsidRPr="00674790" w:rsidRDefault="001D7053" w:rsidP="001D7053">
      <w:pPr>
        <w:rPr>
          <w:rFonts w:cs="Arial"/>
        </w:rPr>
      </w:pPr>
    </w:p>
    <w:p w:rsidR="001D7053" w:rsidRPr="00674790" w:rsidRDefault="001D7053" w:rsidP="001D7053">
      <w:pPr>
        <w:rPr>
          <w:rFonts w:cs="Arial"/>
        </w:rPr>
      </w:pPr>
      <w:r w:rsidRPr="00674790">
        <w:rPr>
          <w:rFonts w:cs="Arial"/>
        </w:rPr>
        <w:br w:type="page"/>
      </w:r>
    </w:p>
    <w:p w:rsidR="001D7053" w:rsidRPr="00C873D9" w:rsidRDefault="001D7053" w:rsidP="001D7053">
      <w:pPr>
        <w:pStyle w:val="berschrift3"/>
      </w:pPr>
      <w:bookmarkStart w:id="17" w:name="_Toc513756850"/>
      <w:r w:rsidRPr="00C873D9">
        <w:lastRenderedPageBreak/>
        <w:t>2. Angaben über das alternative Finanzinstrument</w:t>
      </w:r>
      <w:bookmarkEnd w:id="17"/>
    </w:p>
    <w:tbl>
      <w:tblPr>
        <w:tblW w:w="0" w:type="auto"/>
        <w:tblBorders>
          <w:top w:val="single" w:sz="4" w:space="0" w:color="auto"/>
          <w:left w:val="single" w:sz="4" w:space="0" w:color="auto"/>
          <w:bottom w:val="single" w:sz="4" w:space="0" w:color="auto"/>
          <w:right w:val="single" w:sz="4" w:space="0" w:color="auto"/>
        </w:tblBorders>
        <w:shd w:val="clear" w:color="auto" w:fill="F9F9F9"/>
        <w:tblCellMar>
          <w:top w:w="15" w:type="dxa"/>
          <w:left w:w="15" w:type="dxa"/>
          <w:bottom w:w="15" w:type="dxa"/>
          <w:right w:w="15" w:type="dxa"/>
        </w:tblCellMar>
        <w:tblLook w:val="04A0" w:firstRow="1" w:lastRow="0" w:firstColumn="1" w:lastColumn="0" w:noHBand="0" w:noVBand="1"/>
      </w:tblPr>
      <w:tblGrid>
        <w:gridCol w:w="4322"/>
        <w:gridCol w:w="4322"/>
      </w:tblGrid>
      <w:tr w:rsidR="001D7053" w:rsidRPr="00674790" w:rsidTr="008F33AC">
        <w:tc>
          <w:tcPr>
            <w:tcW w:w="4322" w:type="dxa"/>
            <w:shd w:val="clear" w:color="auto" w:fill="F9F9F9"/>
            <w:tcMar>
              <w:top w:w="0" w:type="dxa"/>
              <w:left w:w="108" w:type="dxa"/>
              <w:bottom w:w="0" w:type="dxa"/>
              <w:right w:w="108" w:type="dxa"/>
            </w:tcMar>
            <w:vAlign w:val="cente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Rechtsform und Art des alternativen Finanzinstruments</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r>
      <w:tr w:rsidR="001D7053" w:rsidRPr="00674790" w:rsidTr="008F33AC">
        <w:tc>
          <w:tcPr>
            <w:tcW w:w="4322" w:type="dxa"/>
            <w:shd w:val="clear" w:color="auto" w:fill="F9F9F9"/>
            <w:tcMar>
              <w:top w:w="0" w:type="dxa"/>
              <w:left w:w="108" w:type="dxa"/>
              <w:bottom w:w="0" w:type="dxa"/>
              <w:right w:w="108" w:type="dxa"/>
            </w:tcMar>
            <w:vAlign w:val="cente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Laufzeit</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Kündigungsfristen</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Kündigungstermine</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Angaben über die Art und Höhe der Verzinsung oder Bestimmungen über die Ausschüttung und Verwendung des Jahresüberschusses</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Kosten</w:t>
            </w:r>
          </w:p>
        </w:t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Angaben jeweils nach Höhe und Verrechnungsform (Zu- oder Abschlag) bezogen auf die Zeichnungssumme</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Etwaige Vertriebskosten</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Etwaige Verwaltungskosten</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Etwaige Managementkosten</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[Höhe in %]</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[Höhe in %]</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[Höhe in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Summe der etwaigen Einmalkosten</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Summe der etwaigen laufenden Kosten pro Jahr</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[Höhe in %]</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[Höhe in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Angabe allfälliger Belastungen</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Bestimmungen über die Stellung der Anleger im Insolvenzfall</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Etwaige Nachschusspflichten bei Geschäftsanteilen an Genossenschaften</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Kontroll- und Mitwirkungsrechte</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Darstellung der Möglichkeit und Kosten einer späteren Veräußerung</w:t>
            </w:r>
          </w:p>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ind w:left="360"/>
              <w:rPr>
                <w:rFonts w:cs="Arial"/>
                <w:color w:val="000000"/>
                <w:sz w:val="19"/>
                <w:szCs w:val="19"/>
                <w:lang w:val="de-AT" w:eastAsia="de-AT"/>
              </w:rPr>
            </w:pPr>
            <w:r w:rsidRPr="00674790">
              <w:rPr>
                <w:rFonts w:cs="Arial"/>
                <w:color w:val="000000"/>
                <w:sz w:val="19"/>
                <w:szCs w:val="19"/>
                <w:lang w:val="de-AT" w:eastAsia="de-AT"/>
              </w:rPr>
              <w:t>Angabe der auf die Einkünfte aus dem alternativen Finanzinstrument zu entrichtenden Steuern</w:t>
            </w:r>
          </w:p>
        </w:tc>
        <w:tc>
          <w:tcPr>
            <w:tcW w:w="0" w:type="auto"/>
            <w:shd w:val="clear" w:color="auto" w:fill="F9F9F9"/>
            <w:vAlign w:val="center"/>
            <w:hideMark/>
          </w:tcPr>
          <w:p w:rsidR="001D7053" w:rsidRPr="00674790" w:rsidRDefault="001D7053" w:rsidP="008F33AC">
            <w:pPr>
              <w:ind w:left="360"/>
              <w:rPr>
                <w:rFonts w:cs="Arial"/>
                <w:sz w:val="20"/>
                <w:szCs w:val="20"/>
                <w:lang w:eastAsia="de-AT"/>
              </w:rPr>
            </w:pPr>
          </w:p>
        </w:tc>
      </w:tr>
    </w:tbl>
    <w:p w:rsidR="001D7053" w:rsidRPr="00674790" w:rsidRDefault="001D7053" w:rsidP="001D7053">
      <w:pPr>
        <w:rPr>
          <w:rFonts w:cs="Arial"/>
        </w:rPr>
      </w:pPr>
    </w:p>
    <w:p w:rsidR="001D7053" w:rsidRPr="00674790" w:rsidRDefault="001D7053" w:rsidP="001D7053">
      <w:pPr>
        <w:rPr>
          <w:rFonts w:cs="Arial"/>
        </w:rPr>
      </w:pPr>
      <w:r w:rsidRPr="00674790">
        <w:rPr>
          <w:rFonts w:cs="Arial"/>
        </w:rPr>
        <w:br w:type="page"/>
      </w:r>
    </w:p>
    <w:p w:rsidR="001D7053" w:rsidRPr="00674790" w:rsidRDefault="001D7053" w:rsidP="001D7053">
      <w:pPr>
        <w:rPr>
          <w:rFonts w:cs="Arial"/>
        </w:rPr>
      </w:pPr>
    </w:p>
    <w:p w:rsidR="001D7053" w:rsidRPr="00674790" w:rsidRDefault="001D7053" w:rsidP="001D7053">
      <w:pPr>
        <w:rPr>
          <w:rFonts w:cs="Arial"/>
        </w:rPr>
      </w:pPr>
    </w:p>
    <w:p w:rsidR="001D7053" w:rsidRPr="00674790" w:rsidRDefault="001D7053" w:rsidP="001D7053">
      <w:pPr>
        <w:rPr>
          <w:rFonts w:cs="Arial"/>
        </w:rPr>
      </w:pPr>
      <w:r w:rsidRPr="00674790">
        <w:rPr>
          <w:rFonts w:cs="Arial"/>
        </w:rPr>
        <w:t xml:space="preserve">Und schließlich </w:t>
      </w:r>
      <w:proofErr w:type="gramStart"/>
      <w:r w:rsidRPr="00674790">
        <w:rPr>
          <w:rFonts w:cs="Arial"/>
        </w:rPr>
        <w:t>erfolgt</w:t>
      </w:r>
      <w:proofErr w:type="gramEnd"/>
      <w:r w:rsidRPr="00674790">
        <w:rPr>
          <w:rFonts w:cs="Arial"/>
        </w:rPr>
        <w:t xml:space="preserve"> noch die zwingende Angabe, wozu die Mittel verwendet werden sowie die zuständige Bezirksverwaltungsbehörde.</w:t>
      </w:r>
    </w:p>
    <w:p w:rsidR="001D7053" w:rsidRPr="00674790" w:rsidRDefault="001D7053" w:rsidP="001D7053">
      <w:pPr>
        <w:rPr>
          <w:rFonts w:cs="Arial"/>
        </w:rPr>
      </w:pPr>
      <w:r w:rsidRPr="00674790">
        <w:rPr>
          <w:rFonts w:cs="Arial"/>
        </w:rPr>
        <w:t>Und natürlich die Risikohinweise, wobei hier die inflationär gebrauchte Warnung vor einem Totalverlust gemeint ist.</w:t>
      </w:r>
    </w:p>
    <w:p w:rsidR="001D7053" w:rsidRPr="00674790" w:rsidRDefault="001D7053" w:rsidP="001D7053">
      <w:pPr>
        <w:rPr>
          <w:rFonts w:cs="Arial"/>
        </w:rPr>
      </w:pPr>
      <w:r w:rsidRPr="00674790">
        <w:rPr>
          <w:rFonts w:cs="Arial"/>
        </w:rPr>
        <w:t>Allerdings erfolgt auch dort der klare Hinweis, dass diese Produkte nicht einer Aufsicht unterliegen.</w:t>
      </w:r>
    </w:p>
    <w:p w:rsidR="001D7053" w:rsidRPr="00674790" w:rsidRDefault="001D7053" w:rsidP="001D7053">
      <w:pPr>
        <w:rPr>
          <w:rFonts w:cs="Arial"/>
        </w:rPr>
      </w:pPr>
    </w:p>
    <w:p w:rsidR="001D7053" w:rsidRPr="00674790" w:rsidRDefault="001D7053" w:rsidP="001D7053">
      <w:pPr>
        <w:pStyle w:val="berschrift3"/>
      </w:pPr>
      <w:bookmarkStart w:id="18" w:name="_Toc513756851"/>
      <w:r w:rsidRPr="00674790">
        <w:t>3. Sonstige Angaben und Hinweise</w:t>
      </w:r>
      <w:bookmarkEnd w:id="18"/>
    </w:p>
    <w:tbl>
      <w:tblPr>
        <w:tblW w:w="0" w:type="auto"/>
        <w:tblBorders>
          <w:top w:val="single" w:sz="4" w:space="0" w:color="auto"/>
          <w:left w:val="single" w:sz="4" w:space="0" w:color="auto"/>
          <w:bottom w:val="single" w:sz="4" w:space="0" w:color="auto"/>
          <w:right w:val="single" w:sz="4" w:space="0" w:color="auto"/>
        </w:tblBorders>
        <w:shd w:val="clear" w:color="auto" w:fill="F9F9F9"/>
        <w:tblCellMar>
          <w:top w:w="15" w:type="dxa"/>
          <w:left w:w="15" w:type="dxa"/>
          <w:bottom w:w="15" w:type="dxa"/>
          <w:right w:w="15" w:type="dxa"/>
        </w:tblCellMar>
        <w:tblLook w:val="04A0" w:firstRow="1" w:lastRow="0" w:firstColumn="1" w:lastColumn="0" w:noHBand="0" w:noVBand="1"/>
      </w:tblPr>
      <w:tblGrid>
        <w:gridCol w:w="4322"/>
        <w:gridCol w:w="4322"/>
      </w:tblGrid>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pStyle w:val="tabtext"/>
              <w:spacing w:before="0" w:beforeAutospacing="0" w:after="0" w:afterAutospacing="0"/>
              <w:rPr>
                <w:rFonts w:cs="Arial"/>
                <w:color w:val="000000"/>
                <w:sz w:val="19"/>
                <w:szCs w:val="19"/>
              </w:rPr>
            </w:pPr>
            <w:r w:rsidRPr="00674790">
              <w:rPr>
                <w:rFonts w:cs="Arial"/>
                <w:color w:val="000000"/>
                <w:sz w:val="19"/>
                <w:szCs w:val="19"/>
              </w:rPr>
              <w:t>Angaben zur Verwendung der durch die Ausgabe alternativer Finanzinstrumente eingesammelten Gelder</w:t>
            </w:r>
          </w:p>
          <w:p w:rsidR="001D7053" w:rsidRPr="00674790" w:rsidRDefault="001D7053" w:rsidP="008F33AC">
            <w:pPr>
              <w:pStyle w:val="abstand"/>
              <w:spacing w:before="0" w:beforeAutospacing="0" w:after="0" w:afterAutospacing="0"/>
              <w:rPr>
                <w:rFonts w:cs="Arial"/>
                <w:color w:val="000000"/>
                <w:sz w:val="19"/>
                <w:szCs w:val="19"/>
              </w:rPr>
            </w:pPr>
            <w:r w:rsidRPr="00674790">
              <w:rPr>
                <w:rFonts w:cs="Arial"/>
                <w:color w:val="000000"/>
                <w:sz w:val="19"/>
                <w:szCs w:val="19"/>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pStyle w:val="tabtext"/>
              <w:spacing w:before="0" w:beforeAutospacing="0" w:after="0" w:afterAutospacing="0"/>
              <w:rPr>
                <w:rFonts w:cs="Arial"/>
                <w:color w:val="000000"/>
                <w:sz w:val="19"/>
                <w:szCs w:val="19"/>
              </w:rPr>
            </w:pPr>
            <w:r w:rsidRPr="00674790">
              <w:rPr>
                <w:rFonts w:cs="Arial"/>
                <w:color w:val="000000"/>
                <w:sz w:val="19"/>
                <w:szCs w:val="19"/>
              </w:rPr>
              <w:t> </w:t>
            </w:r>
          </w:p>
        </w:tc>
      </w:tr>
      <w:tr w:rsidR="001D7053" w:rsidRPr="00674790" w:rsidTr="008F33AC">
        <w:tc>
          <w:tcPr>
            <w:tcW w:w="4322" w:type="dxa"/>
            <w:shd w:val="clear" w:color="auto" w:fill="F9F9F9"/>
            <w:tcMar>
              <w:top w:w="0" w:type="dxa"/>
              <w:left w:w="108" w:type="dxa"/>
              <w:bottom w:w="0" w:type="dxa"/>
              <w:right w:w="108" w:type="dxa"/>
            </w:tcMar>
            <w:hideMark/>
          </w:tcPr>
          <w:p w:rsidR="001D7053" w:rsidRPr="00674790" w:rsidRDefault="001D7053" w:rsidP="008F33AC">
            <w:pPr>
              <w:pStyle w:val="tabtext"/>
              <w:spacing w:before="0" w:beforeAutospacing="0" w:after="0" w:afterAutospacing="0"/>
              <w:rPr>
                <w:rFonts w:cs="Arial"/>
                <w:color w:val="000000"/>
                <w:sz w:val="19"/>
                <w:szCs w:val="19"/>
              </w:rPr>
            </w:pPr>
            <w:r w:rsidRPr="00674790">
              <w:rPr>
                <w:rFonts w:cs="Arial"/>
                <w:color w:val="000000"/>
                <w:sz w:val="19"/>
                <w:szCs w:val="19"/>
              </w:rPr>
              <w:t>Angabe der für den Emittenten im Falle eines Verwaltungsstrafverfahrens örtlich zuständigen Bezirksverwaltungsbehörde.</w:t>
            </w:r>
          </w:p>
          <w:p w:rsidR="001D7053" w:rsidRPr="00674790" w:rsidRDefault="001D7053" w:rsidP="008F33AC">
            <w:pPr>
              <w:pStyle w:val="abstand"/>
              <w:spacing w:before="0" w:beforeAutospacing="0" w:after="0" w:afterAutospacing="0"/>
              <w:rPr>
                <w:rFonts w:cs="Arial"/>
                <w:color w:val="000000"/>
                <w:sz w:val="19"/>
                <w:szCs w:val="19"/>
              </w:rPr>
            </w:pPr>
            <w:r w:rsidRPr="00674790">
              <w:rPr>
                <w:rFonts w:cs="Arial"/>
                <w:color w:val="000000"/>
                <w:sz w:val="19"/>
                <w:szCs w:val="19"/>
              </w:rPr>
              <w:t> </w:t>
            </w:r>
          </w:p>
        </w:tc>
        <w:tc>
          <w:tcPr>
            <w:tcW w:w="4322" w:type="dxa"/>
            <w:shd w:val="clear" w:color="auto" w:fill="F9F9F9"/>
            <w:tcMar>
              <w:top w:w="0" w:type="dxa"/>
              <w:left w:w="108" w:type="dxa"/>
              <w:bottom w:w="0" w:type="dxa"/>
              <w:right w:w="108" w:type="dxa"/>
            </w:tcMar>
            <w:hideMark/>
          </w:tcPr>
          <w:p w:rsidR="001D7053" w:rsidRPr="00674790" w:rsidRDefault="001D7053" w:rsidP="008F33AC">
            <w:pPr>
              <w:pStyle w:val="tabtext"/>
              <w:spacing w:before="0" w:beforeAutospacing="0" w:after="0" w:afterAutospacing="0"/>
              <w:rPr>
                <w:rFonts w:cs="Arial"/>
                <w:color w:val="000000"/>
                <w:sz w:val="19"/>
                <w:szCs w:val="19"/>
              </w:rPr>
            </w:pPr>
            <w:r w:rsidRPr="00674790">
              <w:rPr>
                <w:rFonts w:cs="Arial"/>
                <w:color w:val="000000"/>
                <w:sz w:val="19"/>
                <w:szCs w:val="19"/>
              </w:rPr>
              <w:t>[Bezeichnung der Behörde]</w:t>
            </w:r>
          </w:p>
          <w:p w:rsidR="001D7053" w:rsidRPr="00674790" w:rsidRDefault="001D7053" w:rsidP="008F33AC">
            <w:pPr>
              <w:pStyle w:val="abstand"/>
              <w:spacing w:before="0" w:beforeAutospacing="0" w:after="0" w:afterAutospacing="0"/>
              <w:rPr>
                <w:rFonts w:cs="Arial"/>
                <w:color w:val="000000"/>
                <w:sz w:val="19"/>
                <w:szCs w:val="19"/>
              </w:rPr>
            </w:pPr>
            <w:r w:rsidRPr="00674790">
              <w:rPr>
                <w:rFonts w:cs="Arial"/>
                <w:color w:val="000000"/>
                <w:sz w:val="19"/>
                <w:szCs w:val="19"/>
              </w:rPr>
              <w:t> </w:t>
            </w:r>
          </w:p>
          <w:p w:rsidR="001D7053" w:rsidRPr="00674790" w:rsidRDefault="001D7053" w:rsidP="008F33AC">
            <w:pPr>
              <w:pStyle w:val="tabtext"/>
              <w:spacing w:before="0" w:beforeAutospacing="0" w:after="0" w:afterAutospacing="0"/>
              <w:rPr>
                <w:rFonts w:cs="Arial"/>
                <w:color w:val="000000"/>
                <w:sz w:val="19"/>
                <w:szCs w:val="19"/>
              </w:rPr>
            </w:pPr>
            <w:r w:rsidRPr="00674790">
              <w:rPr>
                <w:rFonts w:cs="Arial"/>
                <w:color w:val="000000"/>
                <w:sz w:val="19"/>
                <w:szCs w:val="19"/>
              </w:rPr>
              <w:t>[Anschrift der Behörde]</w:t>
            </w:r>
          </w:p>
        </w:tc>
      </w:tr>
    </w:tbl>
    <w:p w:rsidR="001D7053" w:rsidRPr="00674790" w:rsidRDefault="001D7053" w:rsidP="001D7053">
      <w:pPr>
        <w:pStyle w:val="berschrift3"/>
      </w:pPr>
      <w:bookmarkStart w:id="19" w:name="_Toc513756852"/>
      <w:r w:rsidRPr="00674790">
        <w:t>4. Risikohinweise</w:t>
      </w:r>
      <w:bookmarkEnd w:id="19"/>
    </w:p>
    <w:tbl>
      <w:tblPr>
        <w:tblW w:w="0" w:type="auto"/>
        <w:tblBorders>
          <w:top w:val="single" w:sz="4" w:space="0" w:color="auto"/>
          <w:left w:val="single" w:sz="4" w:space="0" w:color="auto"/>
          <w:bottom w:val="single" w:sz="4" w:space="0" w:color="auto"/>
          <w:right w:val="single" w:sz="4" w:space="0" w:color="auto"/>
        </w:tblBorders>
        <w:shd w:val="clear" w:color="auto" w:fill="F9F9F9"/>
        <w:tblCellMar>
          <w:top w:w="15" w:type="dxa"/>
          <w:left w:w="15" w:type="dxa"/>
          <w:bottom w:w="15" w:type="dxa"/>
          <w:right w:w="15" w:type="dxa"/>
        </w:tblCellMar>
        <w:tblLook w:val="04A0" w:firstRow="1" w:lastRow="0" w:firstColumn="1" w:lastColumn="0" w:noHBand="0" w:noVBand="1"/>
      </w:tblPr>
      <w:tblGrid>
        <w:gridCol w:w="8644"/>
      </w:tblGrid>
      <w:tr w:rsidR="001D7053" w:rsidRPr="00674790" w:rsidTr="008F33AC">
        <w:tc>
          <w:tcPr>
            <w:tcW w:w="8644" w:type="dxa"/>
            <w:shd w:val="clear" w:color="auto" w:fill="F9F9F9"/>
            <w:tcMar>
              <w:top w:w="0" w:type="dxa"/>
              <w:left w:w="108" w:type="dxa"/>
              <w:bottom w:w="0" w:type="dxa"/>
              <w:right w:w="108" w:type="dxa"/>
            </w:tcMar>
            <w:hideMark/>
          </w:tcPr>
          <w:p w:rsidR="001D7053" w:rsidRPr="00674790" w:rsidRDefault="001D7053" w:rsidP="008F33AC">
            <w:pPr>
              <w:pStyle w:val="abstand"/>
              <w:spacing w:before="0" w:beforeAutospacing="0" w:after="0" w:afterAutospacing="0"/>
              <w:rPr>
                <w:rFonts w:cs="Arial"/>
                <w:color w:val="000000"/>
                <w:sz w:val="19"/>
                <w:szCs w:val="19"/>
              </w:rPr>
            </w:pPr>
            <w:r w:rsidRPr="00674790">
              <w:rPr>
                <w:rFonts w:cs="Arial"/>
                <w:color w:val="000000"/>
                <w:sz w:val="19"/>
                <w:szCs w:val="19"/>
              </w:rPr>
              <w:t> </w:t>
            </w:r>
          </w:p>
          <w:p w:rsidR="001D7053" w:rsidRPr="00674790" w:rsidRDefault="001D7053" w:rsidP="008F33AC">
            <w:pPr>
              <w:pStyle w:val="tabtext"/>
              <w:spacing w:before="0" w:beforeAutospacing="0" w:after="0" w:afterAutospacing="0"/>
              <w:rPr>
                <w:rFonts w:cs="Arial"/>
                <w:color w:val="000000"/>
                <w:sz w:val="19"/>
                <w:szCs w:val="19"/>
              </w:rPr>
            </w:pPr>
            <w:r w:rsidRPr="00674790">
              <w:rPr>
                <w:rStyle w:val="fett0"/>
                <w:rFonts w:cs="Arial"/>
                <w:b/>
                <w:bCs/>
                <w:color w:val="000000"/>
                <w:sz w:val="19"/>
                <w:szCs w:val="19"/>
                <w:bdr w:val="none" w:sz="0" w:space="0" w:color="auto" w:frame="1"/>
              </w:rPr>
              <w:t>Der Erwerb alternativer Finanzinstrumente beinhaltet das Risiko des Verlustes des gesamten investierten Kapitals. Grundsätzlich kann angenommen werden, dass höhere mögliche Renditen aus einem höheren Risiko resultieren.</w:t>
            </w:r>
          </w:p>
          <w:p w:rsidR="001D7053" w:rsidRPr="00674790" w:rsidRDefault="001D7053" w:rsidP="008F33AC">
            <w:pPr>
              <w:pStyle w:val="abstand"/>
              <w:spacing w:before="0" w:beforeAutospacing="0" w:after="0" w:afterAutospacing="0"/>
              <w:rPr>
                <w:rFonts w:cs="Arial"/>
                <w:color w:val="000000"/>
                <w:sz w:val="19"/>
                <w:szCs w:val="19"/>
              </w:rPr>
            </w:pPr>
            <w:r w:rsidRPr="00674790">
              <w:rPr>
                <w:rFonts w:cs="Arial"/>
                <w:color w:val="000000"/>
                <w:sz w:val="19"/>
                <w:szCs w:val="19"/>
              </w:rPr>
              <w:t> </w:t>
            </w:r>
          </w:p>
        </w:tc>
      </w:tr>
      <w:tr w:rsidR="001D7053" w:rsidRPr="00674790" w:rsidTr="008F33AC">
        <w:tc>
          <w:tcPr>
            <w:tcW w:w="8644" w:type="dxa"/>
            <w:shd w:val="clear" w:color="auto" w:fill="F9F9F9"/>
            <w:tcMar>
              <w:top w:w="0" w:type="dxa"/>
              <w:left w:w="108" w:type="dxa"/>
              <w:bottom w:w="0" w:type="dxa"/>
              <w:right w:w="108" w:type="dxa"/>
            </w:tcMar>
            <w:hideMark/>
          </w:tcPr>
          <w:p w:rsidR="001D7053" w:rsidRPr="00674790" w:rsidRDefault="001D7053" w:rsidP="008F33AC">
            <w:pPr>
              <w:pStyle w:val="abstand"/>
              <w:spacing w:before="0" w:beforeAutospacing="0" w:after="0" w:afterAutospacing="0"/>
              <w:rPr>
                <w:rFonts w:cs="Arial"/>
                <w:color w:val="000000"/>
                <w:sz w:val="19"/>
                <w:szCs w:val="19"/>
              </w:rPr>
            </w:pPr>
            <w:r w:rsidRPr="00674790">
              <w:rPr>
                <w:rFonts w:cs="Arial"/>
                <w:color w:val="000000"/>
                <w:sz w:val="19"/>
                <w:szCs w:val="19"/>
              </w:rPr>
              <w:t> </w:t>
            </w:r>
          </w:p>
          <w:p w:rsidR="001D7053" w:rsidRPr="00674790" w:rsidRDefault="001D7053" w:rsidP="008F33AC">
            <w:pPr>
              <w:pStyle w:val="tabtext"/>
              <w:spacing w:before="0" w:beforeAutospacing="0" w:after="0" w:afterAutospacing="0"/>
              <w:rPr>
                <w:rFonts w:cs="Arial"/>
                <w:color w:val="000000"/>
                <w:sz w:val="19"/>
                <w:szCs w:val="19"/>
              </w:rPr>
            </w:pPr>
            <w:r w:rsidRPr="00674790">
              <w:rPr>
                <w:rFonts w:cs="Arial"/>
                <w:color w:val="000000"/>
                <w:sz w:val="19"/>
                <w:szCs w:val="19"/>
              </w:rPr>
              <w:t>Es liegt keine Beaufsichtigung durch die Finanzmarktaufsichtsbehörde (FMA) hinsichtlich der Einhaltung des Alternativfinanzierungsgesetzes oder einer aufgrund dieses Gesetzes erlassenen Verordnung vor.</w:t>
            </w:r>
          </w:p>
          <w:p w:rsidR="001D7053" w:rsidRPr="00674790" w:rsidRDefault="001D7053" w:rsidP="008F33AC">
            <w:pPr>
              <w:pStyle w:val="abstand"/>
              <w:spacing w:before="0" w:beforeAutospacing="0" w:after="0" w:afterAutospacing="0"/>
              <w:rPr>
                <w:rFonts w:cs="Arial"/>
                <w:color w:val="000000"/>
                <w:sz w:val="19"/>
                <w:szCs w:val="19"/>
              </w:rPr>
            </w:pPr>
            <w:r w:rsidRPr="00674790">
              <w:rPr>
                <w:rFonts w:cs="Arial"/>
                <w:color w:val="000000"/>
                <w:sz w:val="19"/>
                <w:szCs w:val="19"/>
              </w:rPr>
              <w:t> </w:t>
            </w:r>
          </w:p>
          <w:p w:rsidR="001D7053" w:rsidRPr="00674790" w:rsidRDefault="001D7053" w:rsidP="008F33AC">
            <w:pPr>
              <w:pStyle w:val="tabtext"/>
              <w:spacing w:before="0" w:beforeAutospacing="0" w:after="0" w:afterAutospacing="0"/>
              <w:rPr>
                <w:rFonts w:cs="Arial"/>
                <w:color w:val="000000"/>
                <w:sz w:val="19"/>
                <w:szCs w:val="19"/>
              </w:rPr>
            </w:pPr>
            <w:proofErr w:type="spellStart"/>
            <w:r w:rsidRPr="00674790">
              <w:rPr>
                <w:rFonts w:cs="Arial"/>
                <w:color w:val="000000"/>
                <w:sz w:val="19"/>
                <w:szCs w:val="19"/>
              </w:rPr>
              <w:t>Wertpapierdienstleisungsunternehmen</w:t>
            </w:r>
            <w:proofErr w:type="spellEnd"/>
            <w:r w:rsidRPr="00674790">
              <w:rPr>
                <w:rFonts w:cs="Arial"/>
                <w:color w:val="000000"/>
                <w:sz w:val="19"/>
                <w:szCs w:val="19"/>
              </w:rPr>
              <w:t>, die auf einer Internetplattform alternative Finanzinstrumente vermitteln, unterliegen ausschließlich hinsichtlich der Einhaltung des Wertpapieraufsichtsgesetzes 2007 der Beaufsichtigung durch die FMA.</w:t>
            </w:r>
          </w:p>
        </w:tc>
      </w:tr>
    </w:tbl>
    <w:p w:rsidR="001D7053" w:rsidRPr="00674790" w:rsidRDefault="001D7053" w:rsidP="001D7053">
      <w:pPr>
        <w:rPr>
          <w:rFonts w:cs="Arial"/>
        </w:rPr>
      </w:pPr>
    </w:p>
    <w:p w:rsidR="001D7053" w:rsidRPr="00674790" w:rsidRDefault="001D7053" w:rsidP="001D7053">
      <w:pPr>
        <w:rPr>
          <w:rFonts w:cs="Arial"/>
        </w:rPr>
      </w:pPr>
      <w:r w:rsidRPr="00674790">
        <w:rPr>
          <w:rFonts w:cs="Arial"/>
        </w:rPr>
        <w:t xml:space="preserve">Die entsprechenden Informationen müssen von einem Wirtschaftstreuhänder, einem in die Liste einer Rechtsanwaltskammer eingetragenen Rechtsanwalt, einem Notar, einer Wirtschaftskammer, einem Unternehmensberater, einem Vermögensberater oder im Fall von Geschäftsanteilen an einer Genossenschaft vom zuständigen Revisionsverband hinsichtlich ihrer Kohärenz, Vollständigkeit und Verständlichkeit geprüft werden. </w:t>
      </w:r>
    </w:p>
    <w:p w:rsidR="001D7053" w:rsidRPr="00674790" w:rsidRDefault="001D7053" w:rsidP="001D7053">
      <w:pPr>
        <w:rPr>
          <w:rFonts w:cs="Arial"/>
        </w:rPr>
      </w:pPr>
      <w:r w:rsidRPr="00674790">
        <w:rPr>
          <w:rFonts w:cs="Arial"/>
        </w:rPr>
        <w:t xml:space="preserve">Achtung: Vollständigkeit und Verständlichkeit. Nicht auf inhaltliche Angaben.  </w:t>
      </w:r>
    </w:p>
    <w:p w:rsidR="001D7053" w:rsidRPr="00674790" w:rsidRDefault="001D7053" w:rsidP="001D7053">
      <w:pPr>
        <w:rPr>
          <w:rFonts w:cs="Arial"/>
        </w:rPr>
      </w:pPr>
    </w:p>
    <w:p w:rsidR="001D7053" w:rsidRPr="00674790" w:rsidRDefault="001D7053" w:rsidP="001D7053">
      <w:pPr>
        <w:rPr>
          <w:rFonts w:cs="Arial"/>
        </w:rPr>
      </w:pPr>
      <w:r w:rsidRPr="00674790">
        <w:rPr>
          <w:rFonts w:cs="Arial"/>
        </w:rPr>
        <w:t>Zusätzlich gehen die Informationen, die auch dem Anleger zur Verfügung gestellt werden an den Verein für Konsumenteninformation zur Archivierung. Ein Prüfauftrag für die eingereichten Informationen ist damit nicht verbunden. Es wurden auch keine Mittel zur Verfügung gestellt, die es dem Verein ermöglichen Prüfungen durchzuführen.</w:t>
      </w:r>
    </w:p>
    <w:p w:rsidR="001D7053" w:rsidRDefault="001D7053" w:rsidP="00C2574F"/>
    <w:p w:rsidR="00564BAC" w:rsidRDefault="00564BAC" w:rsidP="00C2574F"/>
    <w:p w:rsidR="00564BAC" w:rsidRDefault="00564BAC" w:rsidP="0044101B">
      <w:pPr>
        <w:pStyle w:val="berschrift4"/>
      </w:pPr>
      <w:r>
        <w:lastRenderedPageBreak/>
        <w:t>Geschä</w:t>
      </w:r>
      <w:r w:rsidR="0044101B">
        <w:t>ftsplan</w:t>
      </w:r>
    </w:p>
    <w:p w:rsidR="0044101B" w:rsidRDefault="0044101B" w:rsidP="0044101B">
      <w:r>
        <w:t>Unterlagen zur Geschäftsplanung sollten zumindest einige standardisierte Angaben enthalten. Die Ansätze gehen hierbei von den Firmen in teilweise sehr unterschiedliche Richtungen.</w:t>
      </w:r>
    </w:p>
    <w:p w:rsidR="00B77600" w:rsidRDefault="00B77600" w:rsidP="0044101B"/>
    <w:p w:rsidR="00B77600" w:rsidRDefault="00B77600" w:rsidP="0044101B">
      <w:r>
        <w:t xml:space="preserve">Dabei ist ein vollumfänglicher Geschäftsplan für Kleinanleger nur bedingt geeignet. Dieser zeigt oft viele Daten, die für die Anlageentscheidung nicht direkt nutzbar sind. </w:t>
      </w:r>
    </w:p>
    <w:p w:rsidR="0044101B" w:rsidRDefault="0044101B" w:rsidP="0044101B"/>
    <w:p w:rsidR="0044101B" w:rsidRDefault="0044101B" w:rsidP="0044101B">
      <w:r>
        <w:t>Zur Vergleichbarkeit sollten einige grundlegende Kennzahlen, idealerweise Kennzahlen die zur Berechnung einer Gewinnbeteiligung herangezogen werden</w:t>
      </w:r>
      <w:r w:rsidR="00591742">
        <w:t>,</w:t>
      </w:r>
      <w:r w:rsidR="00D4659D">
        <w:t xml:space="preserve"> vorhanden sein und auch entsprechend bereits im Formular dargestellt werden.</w:t>
      </w:r>
    </w:p>
    <w:p w:rsidR="001D7053" w:rsidRDefault="001D7053" w:rsidP="0044101B"/>
    <w:p w:rsidR="00017E7F" w:rsidRDefault="00017E7F">
      <w:r>
        <w:br w:type="page"/>
      </w:r>
    </w:p>
    <w:p w:rsidR="001D7053" w:rsidRDefault="001D7053" w:rsidP="0044101B"/>
    <w:p w:rsidR="001D7053" w:rsidRDefault="001D7053" w:rsidP="001D7053">
      <w:pPr>
        <w:pStyle w:val="berschrift1"/>
      </w:pPr>
      <w:bookmarkStart w:id="20" w:name="_Toc513756853"/>
      <w:r>
        <w:t>Volumina</w:t>
      </w:r>
      <w:bookmarkEnd w:id="20"/>
    </w:p>
    <w:p w:rsidR="001D7053" w:rsidRDefault="001D7053" w:rsidP="001D7053">
      <w:r>
        <w:t xml:space="preserve">Nicht generell wird eine </w:t>
      </w:r>
      <w:proofErr w:type="spellStart"/>
      <w:r>
        <w:t>Fundingsumme</w:t>
      </w:r>
      <w:proofErr w:type="spellEnd"/>
      <w:r>
        <w:t xml:space="preserve"> bei den Projekten angegeben. Ganz im Gegenteil behalten sich einige Anbieter eine nachträgliche Erhöhung der </w:t>
      </w:r>
      <w:proofErr w:type="spellStart"/>
      <w:r>
        <w:t>Fundingsumme</w:t>
      </w:r>
      <w:proofErr w:type="spellEnd"/>
      <w:r>
        <w:t xml:space="preserve"> an. </w:t>
      </w:r>
    </w:p>
    <w:p w:rsidR="001D7053" w:rsidRDefault="001D7053" w:rsidP="001D7053"/>
    <w:p w:rsidR="001D7053" w:rsidRDefault="001D7053" w:rsidP="001D7053">
      <w:r>
        <w:t>Eine Abschätzung der erfolgten Volumina kann leider nicht getroffen werden, da Rückmeldungen über den Erfolg von Emissionen bisher nicht erfolgen.</w:t>
      </w:r>
    </w:p>
    <w:p w:rsidR="001D7053" w:rsidRDefault="001D7053" w:rsidP="001D7053"/>
    <w:p w:rsidR="001D7053" w:rsidRDefault="001D7053" w:rsidP="001D7053">
      <w:r>
        <w:t xml:space="preserve">Um einen Näherungswert der nachgefragten Volumina zu erhalten wurden bei fehlender </w:t>
      </w:r>
      <w:proofErr w:type="spellStart"/>
      <w:r>
        <w:t>Fundingsumme</w:t>
      </w:r>
      <w:proofErr w:type="spellEnd"/>
      <w:r>
        <w:t xml:space="preserve"> die Maximalsumme von 1,49 </w:t>
      </w:r>
      <w:proofErr w:type="spellStart"/>
      <w:r>
        <w:t>Mio</w:t>
      </w:r>
      <w:proofErr w:type="spellEnd"/>
      <w:r>
        <w:t xml:space="preserve"> Euro angesetzt.</w:t>
      </w:r>
    </w:p>
    <w:p w:rsidR="001D7053" w:rsidRDefault="001D7053" w:rsidP="001D7053"/>
    <w:p w:rsidR="001D7053" w:rsidRDefault="00017E7F" w:rsidP="001D7053">
      <w:r>
        <w:t xml:space="preserve">Bei insgesamt 83 Projekten wurden </w:t>
      </w:r>
      <w:proofErr w:type="spellStart"/>
      <w:r>
        <w:t>Fundingsummen</w:t>
      </w:r>
      <w:proofErr w:type="spellEnd"/>
      <w:r>
        <w:t xml:space="preserve"> im Infoblatt vermerkt. Dabei sollten 50.945.599 Euro eingesammelt werden. Dies entspricht einer durchschnittlichen Nachfrage von 613.802 Euro.</w:t>
      </w:r>
    </w:p>
    <w:p w:rsidR="00017E7F" w:rsidRDefault="00017E7F" w:rsidP="001D7053"/>
    <w:p w:rsidR="00017E7F" w:rsidRDefault="00017E7F" w:rsidP="001D7053"/>
    <w:p w:rsidR="001D7053" w:rsidRPr="001D7053" w:rsidRDefault="001D7053" w:rsidP="001D7053"/>
    <w:p w:rsidR="002C7DF2" w:rsidRDefault="002C7DF2" w:rsidP="002C7DF2"/>
    <w:p w:rsidR="00017E7F" w:rsidRDefault="00017E7F">
      <w:r>
        <w:rPr>
          <w:noProof/>
          <w:lang w:val="de-AT" w:eastAsia="de-AT"/>
        </w:rPr>
        <w:drawing>
          <wp:inline distT="0" distB="0" distL="0" distR="0" wp14:anchorId="41C4261A" wp14:editId="393AFF55">
            <wp:extent cx="4572000" cy="2743200"/>
            <wp:effectExtent l="0" t="0" r="19050" b="19050"/>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17E7F" w:rsidRDefault="00017E7F"/>
    <w:p w:rsidR="00B77600" w:rsidRDefault="00017E7F">
      <w:r>
        <w:t xml:space="preserve">Setzt man </w:t>
      </w:r>
      <w:r w:rsidR="00093193">
        <w:t xml:space="preserve">bei den Projekten ohne Angabe eine </w:t>
      </w:r>
      <w:proofErr w:type="spellStart"/>
      <w:r w:rsidR="00093193">
        <w:t>Fundingsumme</w:t>
      </w:r>
      <w:proofErr w:type="spellEnd"/>
      <w:r w:rsidR="00093193">
        <w:t xml:space="preserve"> den Maximalbetrag an, erhöht sich die Nachfrage auf rund 210,4 Millionen Euro.</w:t>
      </w:r>
      <w:r w:rsidR="00B77600">
        <w:br w:type="page"/>
      </w:r>
    </w:p>
    <w:p w:rsidR="009304A2" w:rsidRDefault="009304A2" w:rsidP="002C7DF2"/>
    <w:p w:rsidR="009304A2" w:rsidRDefault="009304A2" w:rsidP="009304A2">
      <w:pPr>
        <w:pStyle w:val="berschrift1"/>
      </w:pPr>
      <w:bookmarkStart w:id="21" w:name="_Toc513756854"/>
      <w:r>
        <w:t>Plattformen</w:t>
      </w:r>
      <w:bookmarkEnd w:id="21"/>
    </w:p>
    <w:p w:rsidR="00F37BCE" w:rsidRDefault="00FF58FF" w:rsidP="009304A2">
      <w:r>
        <w:t>Im Betrachtungszeitraum meldeten insgesamt 2</w:t>
      </w:r>
      <w:r w:rsidR="00F37BCE">
        <w:t>5 verschiedene Plattformen ein. Dabei meldeten 5 Plattformbetreiber 161 davon ein. 75% des Marktes sind somit auf 5 Anbieter konzentriert.</w:t>
      </w:r>
    </w:p>
    <w:p w:rsidR="00F37BCE" w:rsidRDefault="00F37BCE" w:rsidP="009304A2"/>
    <w:tbl>
      <w:tblPr>
        <w:tblW w:w="4152" w:type="dxa"/>
        <w:tblInd w:w="70" w:type="dxa"/>
        <w:tblCellMar>
          <w:left w:w="70" w:type="dxa"/>
          <w:right w:w="70" w:type="dxa"/>
        </w:tblCellMar>
        <w:tblLook w:val="04A0" w:firstRow="1" w:lastRow="0" w:firstColumn="1" w:lastColumn="0" w:noHBand="0" w:noVBand="1"/>
      </w:tblPr>
      <w:tblGrid>
        <w:gridCol w:w="1976"/>
        <w:gridCol w:w="2176"/>
      </w:tblGrid>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r w:rsidRPr="00F37BCE">
              <w:rPr>
                <w:rFonts w:ascii="Calibri" w:hAnsi="Calibri"/>
                <w:color w:val="000000"/>
                <w:sz w:val="22"/>
                <w:szCs w:val="22"/>
                <w:lang w:val="de-AT" w:eastAsia="de-AT"/>
              </w:rPr>
              <w:t>Anbieter</w:t>
            </w:r>
          </w:p>
        </w:tc>
        <w:tc>
          <w:tcPr>
            <w:tcW w:w="21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r w:rsidRPr="00F37BCE">
              <w:rPr>
                <w:rFonts w:ascii="Calibri" w:hAnsi="Calibri"/>
                <w:color w:val="000000"/>
                <w:sz w:val="22"/>
                <w:szCs w:val="22"/>
                <w:lang w:val="de-AT" w:eastAsia="de-AT"/>
              </w:rPr>
              <w:t xml:space="preserve">Anzahl </w:t>
            </w:r>
            <w:proofErr w:type="spellStart"/>
            <w:r w:rsidRPr="00F37BCE">
              <w:rPr>
                <w:rFonts w:ascii="Calibri" w:hAnsi="Calibri"/>
                <w:color w:val="000000"/>
                <w:sz w:val="22"/>
                <w:szCs w:val="22"/>
                <w:lang w:val="de-AT" w:eastAsia="de-AT"/>
              </w:rPr>
              <w:t>einmeldungen</w:t>
            </w:r>
            <w:proofErr w:type="spellEnd"/>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r w:rsidRPr="00F37BCE">
              <w:rPr>
                <w:rFonts w:ascii="Calibri" w:hAnsi="Calibri"/>
                <w:color w:val="000000"/>
                <w:sz w:val="22"/>
                <w:szCs w:val="22"/>
                <w:lang w:val="de-AT" w:eastAsia="de-AT"/>
              </w:rPr>
              <w:t>Rocket xxx…Gruppe</w:t>
            </w:r>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53</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Conda</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47</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dagobertinvest</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22</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dasErtragReich</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20</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finnest</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19</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r w:rsidRPr="00F37BCE">
              <w:rPr>
                <w:rFonts w:ascii="Calibri" w:hAnsi="Calibri"/>
                <w:color w:val="000000"/>
                <w:sz w:val="22"/>
                <w:szCs w:val="22"/>
                <w:lang w:val="de-AT" w:eastAsia="de-AT"/>
              </w:rPr>
              <w:t>eigen</w:t>
            </w:r>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9</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evercrowd</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7</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innovation</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7</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r w:rsidRPr="00F37BCE">
              <w:rPr>
                <w:rFonts w:ascii="Calibri" w:hAnsi="Calibri"/>
                <w:color w:val="000000"/>
                <w:sz w:val="22"/>
                <w:szCs w:val="22"/>
                <w:lang w:val="de-AT" w:eastAsia="de-AT"/>
              </w:rPr>
              <w:t>crowd4 …gruppe</w:t>
            </w:r>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5</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reval</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5</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r w:rsidRPr="00F37BCE">
              <w:rPr>
                <w:rFonts w:ascii="Calibri" w:hAnsi="Calibri"/>
                <w:color w:val="000000"/>
                <w:sz w:val="22"/>
                <w:szCs w:val="22"/>
                <w:lang w:val="de-AT" w:eastAsia="de-AT"/>
              </w:rPr>
              <w:t>Ökoenergie</w:t>
            </w:r>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4</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r w:rsidRPr="00F37BCE">
              <w:rPr>
                <w:rFonts w:ascii="Calibri" w:hAnsi="Calibri"/>
                <w:color w:val="000000"/>
                <w:sz w:val="22"/>
                <w:szCs w:val="22"/>
                <w:lang w:val="de-AT" w:eastAsia="de-AT"/>
              </w:rPr>
              <w:t>FINVEST</w:t>
            </w:r>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3</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Danube</w:t>
            </w:r>
            <w:proofErr w:type="spellEnd"/>
            <w:r w:rsidRPr="00F37BCE">
              <w:rPr>
                <w:rFonts w:ascii="Calibri" w:hAnsi="Calibri"/>
                <w:color w:val="000000"/>
                <w:sz w:val="22"/>
                <w:szCs w:val="22"/>
                <w:lang w:val="de-AT" w:eastAsia="de-AT"/>
              </w:rPr>
              <w:t xml:space="preserve"> Angels</w:t>
            </w:r>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2</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r w:rsidRPr="00F37BCE">
              <w:rPr>
                <w:rFonts w:ascii="Calibri" w:hAnsi="Calibri"/>
                <w:color w:val="000000"/>
                <w:sz w:val="22"/>
                <w:szCs w:val="22"/>
                <w:lang w:val="de-AT" w:eastAsia="de-AT"/>
              </w:rPr>
              <w:t>WM Mayerhofer</w:t>
            </w:r>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2</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alcedo</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1</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Enoiko</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1</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hogast</w:t>
            </w:r>
            <w:proofErr w:type="spellEnd"/>
            <w:r w:rsidRPr="00F37BCE">
              <w:rPr>
                <w:rFonts w:ascii="Calibri" w:hAnsi="Calibri"/>
                <w:color w:val="000000"/>
                <w:sz w:val="22"/>
                <w:szCs w:val="22"/>
                <w:lang w:val="de-AT" w:eastAsia="de-AT"/>
              </w:rPr>
              <w:t xml:space="preserve"> Einkaufsgen.</w:t>
            </w:r>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1</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increstment</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1</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Mayer&amp;Partner</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1</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regionalfunding</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1</w:t>
            </w:r>
          </w:p>
        </w:tc>
      </w:tr>
      <w:tr w:rsidR="00F37BCE" w:rsidRPr="00F37BCE" w:rsidTr="00F37BCE">
        <w:trPr>
          <w:trHeight w:val="300"/>
        </w:trPr>
        <w:tc>
          <w:tcPr>
            <w:tcW w:w="1976" w:type="dxa"/>
            <w:tcBorders>
              <w:top w:val="nil"/>
              <w:left w:val="nil"/>
              <w:bottom w:val="nil"/>
              <w:right w:val="nil"/>
            </w:tcBorders>
            <w:shd w:val="clear" w:color="auto" w:fill="auto"/>
            <w:noWrap/>
            <w:vAlign w:val="bottom"/>
            <w:hideMark/>
          </w:tcPr>
          <w:p w:rsidR="00F37BCE" w:rsidRPr="00F37BCE" w:rsidRDefault="00F37BCE" w:rsidP="00F37BCE">
            <w:pPr>
              <w:rPr>
                <w:rFonts w:ascii="Calibri" w:hAnsi="Calibri"/>
                <w:color w:val="000000"/>
                <w:sz w:val="22"/>
                <w:szCs w:val="22"/>
                <w:lang w:val="de-AT" w:eastAsia="de-AT"/>
              </w:rPr>
            </w:pPr>
            <w:proofErr w:type="spellStart"/>
            <w:r w:rsidRPr="00F37BCE">
              <w:rPr>
                <w:rFonts w:ascii="Calibri" w:hAnsi="Calibri"/>
                <w:color w:val="000000"/>
                <w:sz w:val="22"/>
                <w:szCs w:val="22"/>
                <w:lang w:val="de-AT" w:eastAsia="de-AT"/>
              </w:rPr>
              <w:t>Rendity</w:t>
            </w:r>
            <w:proofErr w:type="spellEnd"/>
          </w:p>
        </w:tc>
        <w:tc>
          <w:tcPr>
            <w:tcW w:w="2176" w:type="dxa"/>
            <w:tcBorders>
              <w:top w:val="nil"/>
              <w:left w:val="nil"/>
              <w:bottom w:val="nil"/>
              <w:right w:val="nil"/>
            </w:tcBorders>
            <w:shd w:val="clear" w:color="auto" w:fill="auto"/>
            <w:noWrap/>
            <w:vAlign w:val="bottom"/>
            <w:hideMark/>
          </w:tcPr>
          <w:p w:rsidR="00F37BCE" w:rsidRPr="00F37BCE" w:rsidRDefault="00F37BCE" w:rsidP="00F37BCE">
            <w:pPr>
              <w:jc w:val="right"/>
              <w:rPr>
                <w:rFonts w:ascii="Calibri" w:hAnsi="Calibri"/>
                <w:color w:val="000000"/>
                <w:sz w:val="22"/>
                <w:szCs w:val="22"/>
                <w:lang w:val="de-AT" w:eastAsia="de-AT"/>
              </w:rPr>
            </w:pPr>
            <w:r w:rsidRPr="00F37BCE">
              <w:rPr>
                <w:rFonts w:ascii="Calibri" w:hAnsi="Calibri"/>
                <w:color w:val="000000"/>
                <w:sz w:val="22"/>
                <w:szCs w:val="22"/>
                <w:lang w:val="de-AT" w:eastAsia="de-AT"/>
              </w:rPr>
              <w:t>1</w:t>
            </w:r>
          </w:p>
        </w:tc>
      </w:tr>
    </w:tbl>
    <w:p w:rsidR="00367D1A" w:rsidRDefault="00367D1A" w:rsidP="009304A2"/>
    <w:p w:rsidR="00367D1A" w:rsidRDefault="00367D1A" w:rsidP="009304A2"/>
    <w:p w:rsidR="00367D1A" w:rsidRDefault="00367D1A">
      <w:pPr>
        <w:rPr>
          <w:rFonts w:cs="Arial"/>
        </w:rPr>
      </w:pPr>
      <w:r>
        <w:rPr>
          <w:rFonts w:cs="Arial"/>
        </w:rPr>
        <w:br w:type="page"/>
      </w:r>
    </w:p>
    <w:p w:rsidR="00367D1A" w:rsidRPr="00674790" w:rsidRDefault="00367D1A" w:rsidP="00367D1A">
      <w:pPr>
        <w:rPr>
          <w:rFonts w:cs="Arial"/>
        </w:rPr>
      </w:pPr>
    </w:p>
    <w:p w:rsidR="00367D1A" w:rsidRPr="00674790" w:rsidRDefault="00367D1A" w:rsidP="00367D1A">
      <w:pPr>
        <w:rPr>
          <w:rFonts w:cs="Arial"/>
        </w:rPr>
      </w:pPr>
      <w:r w:rsidRPr="00674790">
        <w:rPr>
          <w:rFonts w:cs="Arial"/>
        </w:rPr>
        <w:t>Eine aktuelle Übersicht über Crowdfunding-Plattformen in Österreich bietet die WKO unter</w:t>
      </w:r>
    </w:p>
    <w:p w:rsidR="00367D1A" w:rsidRPr="00674790" w:rsidRDefault="00EE4F81" w:rsidP="00367D1A">
      <w:pPr>
        <w:rPr>
          <w:rFonts w:cs="Arial"/>
        </w:rPr>
      </w:pPr>
      <w:hyperlink r:id="rId18" w:history="1">
        <w:r w:rsidR="00367D1A" w:rsidRPr="00674790">
          <w:rPr>
            <w:rStyle w:val="Hyperlink"/>
            <w:rFonts w:cs="Arial"/>
          </w:rPr>
          <w:t>https://www.wko.at/site/kampagnen/crowdinvesting/crowd-plattformen-.html</w:t>
        </w:r>
      </w:hyperlink>
      <w:r w:rsidR="00367D1A" w:rsidRPr="00674790">
        <w:rPr>
          <w:rFonts w:cs="Arial"/>
        </w:rPr>
        <w:t xml:space="preserve"> </w:t>
      </w:r>
    </w:p>
    <w:p w:rsidR="00367D1A" w:rsidRPr="00674790" w:rsidRDefault="00367D1A" w:rsidP="00367D1A">
      <w:pPr>
        <w:rPr>
          <w:rFonts w:cs="Arial"/>
        </w:rPr>
      </w:pPr>
    </w:p>
    <w:p w:rsidR="00367D1A" w:rsidRPr="00674790" w:rsidRDefault="00367D1A" w:rsidP="00367D1A">
      <w:pPr>
        <w:rPr>
          <w:rFonts w:cs="Arial"/>
        </w:rPr>
      </w:pPr>
      <w:r w:rsidRPr="00674790">
        <w:rPr>
          <w:rFonts w:cs="Arial"/>
        </w:rPr>
        <w:t>Aktuell sind dort aufgeführt:</w:t>
      </w:r>
    </w:p>
    <w:p w:rsidR="00367D1A" w:rsidRPr="00674790" w:rsidRDefault="00367D1A" w:rsidP="00367D1A">
      <w:pPr>
        <w:rPr>
          <w:rFonts w:cs="Arial"/>
        </w:rPr>
      </w:pPr>
    </w:p>
    <w:p w:rsidR="00367D1A" w:rsidRPr="00674790" w:rsidRDefault="00367D1A" w:rsidP="00367D1A">
      <w:pPr>
        <w:pStyle w:val="Listenabsatz"/>
        <w:numPr>
          <w:ilvl w:val="0"/>
          <w:numId w:val="21"/>
        </w:numPr>
      </w:pPr>
      <w:r w:rsidRPr="00674790">
        <w:t>www.1000x1000.at - spezialisiert auf Innovationsprojekte und Gründungsvorhaben</w:t>
      </w:r>
    </w:p>
    <w:p w:rsidR="00367D1A" w:rsidRPr="00674790" w:rsidRDefault="00367D1A" w:rsidP="00367D1A">
      <w:pPr>
        <w:pStyle w:val="Listenabsatz"/>
        <w:numPr>
          <w:ilvl w:val="0"/>
          <w:numId w:val="21"/>
        </w:numPr>
      </w:pPr>
      <w:r w:rsidRPr="00674790">
        <w:t xml:space="preserve">www.area2Invest.com - spezialisiert auf Startups, KMUs, Immobilien und Spezialprojekte </w:t>
      </w:r>
    </w:p>
    <w:p w:rsidR="00367D1A" w:rsidRPr="00674790" w:rsidRDefault="00367D1A" w:rsidP="00367D1A">
      <w:pPr>
        <w:pStyle w:val="Listenabsatz"/>
        <w:numPr>
          <w:ilvl w:val="0"/>
          <w:numId w:val="21"/>
        </w:numPr>
      </w:pPr>
      <w:r w:rsidRPr="00674790">
        <w:t>www.conda.eu - spezialisiert auf Startups, KMUs, Immobilien und Tourismusprojekte</w:t>
      </w:r>
    </w:p>
    <w:p w:rsidR="00367D1A" w:rsidRPr="00674790" w:rsidRDefault="00367D1A" w:rsidP="00367D1A">
      <w:pPr>
        <w:pStyle w:val="Listenabsatz"/>
        <w:numPr>
          <w:ilvl w:val="0"/>
          <w:numId w:val="21"/>
        </w:numPr>
      </w:pPr>
      <w:r w:rsidRPr="00674790">
        <w:t>www.crowd4climate.org  - spezialisiert auf Klimaschutzprojekte in Entwicklungsländern</w:t>
      </w:r>
    </w:p>
    <w:p w:rsidR="00367D1A" w:rsidRPr="00674790" w:rsidRDefault="00367D1A" w:rsidP="00367D1A">
      <w:pPr>
        <w:pStyle w:val="Listenabsatz"/>
        <w:numPr>
          <w:ilvl w:val="0"/>
          <w:numId w:val="21"/>
        </w:numPr>
      </w:pPr>
      <w:r w:rsidRPr="00674790">
        <w:t>www.crowd4energy.com - spezialisiert auf Energieprojekte</w:t>
      </w:r>
    </w:p>
    <w:p w:rsidR="00367D1A" w:rsidRPr="00674790" w:rsidRDefault="00367D1A" w:rsidP="00367D1A">
      <w:pPr>
        <w:pStyle w:val="Listenabsatz"/>
        <w:numPr>
          <w:ilvl w:val="0"/>
          <w:numId w:val="21"/>
        </w:numPr>
      </w:pPr>
      <w:r w:rsidRPr="00674790">
        <w:t>www.dagobertinvest.at - spezialisiert auf etablierte Unternehmen</w:t>
      </w:r>
    </w:p>
    <w:p w:rsidR="00367D1A" w:rsidRPr="00674790" w:rsidRDefault="00367D1A" w:rsidP="00367D1A">
      <w:pPr>
        <w:pStyle w:val="Listenabsatz"/>
        <w:numPr>
          <w:ilvl w:val="0"/>
          <w:numId w:val="21"/>
        </w:numPr>
      </w:pPr>
      <w:r w:rsidRPr="00674790">
        <w:t xml:space="preserve">www.dasertragreich.at - </w:t>
      </w:r>
      <w:proofErr w:type="spellStart"/>
      <w:r w:rsidRPr="00674790">
        <w:t>Crowdinvesting</w:t>
      </w:r>
      <w:proofErr w:type="spellEnd"/>
      <w:r w:rsidRPr="00674790">
        <w:t xml:space="preserve"> für österreichische KMU</w:t>
      </w:r>
    </w:p>
    <w:p w:rsidR="00367D1A" w:rsidRPr="00674790" w:rsidRDefault="00367D1A" w:rsidP="00367D1A">
      <w:pPr>
        <w:pStyle w:val="Listenabsatz"/>
        <w:numPr>
          <w:ilvl w:val="0"/>
          <w:numId w:val="21"/>
        </w:numPr>
      </w:pPr>
      <w:r w:rsidRPr="00674790">
        <w:t xml:space="preserve">www.evercrowd.com - spezialisiert auf </w:t>
      </w:r>
      <w:proofErr w:type="spellStart"/>
      <w:r w:rsidRPr="00674790">
        <w:t>Crowdinvesting</w:t>
      </w:r>
      <w:proofErr w:type="spellEnd"/>
      <w:r w:rsidRPr="00674790">
        <w:t xml:space="preserve"> und Crowdfunding </w:t>
      </w:r>
    </w:p>
    <w:p w:rsidR="00367D1A" w:rsidRPr="00674790" w:rsidRDefault="00367D1A" w:rsidP="00367D1A">
      <w:pPr>
        <w:pStyle w:val="Listenabsatz"/>
        <w:numPr>
          <w:ilvl w:val="0"/>
          <w:numId w:val="21"/>
        </w:numPr>
      </w:pPr>
      <w:r w:rsidRPr="00674790">
        <w:t xml:space="preserve">www.finnest.com - spezialisiert auf erfolgreiche mittelständische Unternehmen </w:t>
      </w:r>
    </w:p>
    <w:p w:rsidR="00367D1A" w:rsidRPr="00674790" w:rsidRDefault="00367D1A" w:rsidP="00367D1A">
      <w:pPr>
        <w:pStyle w:val="Listenabsatz"/>
        <w:numPr>
          <w:ilvl w:val="0"/>
          <w:numId w:val="21"/>
        </w:numPr>
      </w:pPr>
      <w:r w:rsidRPr="00674790">
        <w:t xml:space="preserve">www.firstcap.eu - </w:t>
      </w:r>
      <w:proofErr w:type="spellStart"/>
      <w:r w:rsidRPr="00674790">
        <w:t>Crowdinvesting</w:t>
      </w:r>
      <w:proofErr w:type="spellEnd"/>
      <w:r w:rsidRPr="00674790">
        <w:t xml:space="preserve"> für Finanzierung von Startups und KMUs</w:t>
      </w:r>
    </w:p>
    <w:p w:rsidR="00367D1A" w:rsidRPr="00674790" w:rsidRDefault="00367D1A" w:rsidP="00367D1A">
      <w:pPr>
        <w:pStyle w:val="Listenabsatz"/>
        <w:numPr>
          <w:ilvl w:val="0"/>
          <w:numId w:val="21"/>
        </w:numPr>
      </w:pPr>
      <w:r w:rsidRPr="00674790">
        <w:t>www.greenrocket.com - spezialisiert auf Startups im Bereich Nachhaltigkeit</w:t>
      </w:r>
    </w:p>
    <w:p w:rsidR="00367D1A" w:rsidRPr="00674790" w:rsidRDefault="00367D1A" w:rsidP="00367D1A">
      <w:pPr>
        <w:pStyle w:val="Listenabsatz"/>
        <w:numPr>
          <w:ilvl w:val="0"/>
          <w:numId w:val="21"/>
        </w:numPr>
      </w:pPr>
      <w:r w:rsidRPr="00674790">
        <w:t>www.homerocket.com - spezialisiert auf Immobilienprojekte</w:t>
      </w:r>
    </w:p>
    <w:p w:rsidR="00367D1A" w:rsidRPr="00674790" w:rsidRDefault="00367D1A" w:rsidP="00367D1A">
      <w:pPr>
        <w:pStyle w:val="Listenabsatz"/>
        <w:numPr>
          <w:ilvl w:val="0"/>
          <w:numId w:val="21"/>
        </w:numPr>
      </w:pPr>
      <w:r w:rsidRPr="00674790">
        <w:t>www.lionrocket.com - spezialisiert auf etablierte Unternehmen</w:t>
      </w:r>
    </w:p>
    <w:p w:rsidR="00367D1A" w:rsidRPr="00674790" w:rsidRDefault="00367D1A" w:rsidP="00367D1A">
      <w:pPr>
        <w:pStyle w:val="Listenabsatz"/>
        <w:numPr>
          <w:ilvl w:val="0"/>
          <w:numId w:val="21"/>
        </w:numPr>
      </w:pPr>
      <w:r w:rsidRPr="00674790">
        <w:t>www.regionalfunding.at - spezialisiert auf regionale Projekte in Niederösterreich</w:t>
      </w:r>
    </w:p>
    <w:p w:rsidR="00367D1A" w:rsidRPr="00674790" w:rsidRDefault="00367D1A" w:rsidP="00367D1A">
      <w:pPr>
        <w:pStyle w:val="Listenabsatz"/>
        <w:numPr>
          <w:ilvl w:val="0"/>
          <w:numId w:val="21"/>
        </w:numPr>
      </w:pPr>
      <w:r w:rsidRPr="00674790">
        <w:t>www.rendity.com - spezialisiert auf Immobilienprojekte</w:t>
      </w:r>
    </w:p>
    <w:p w:rsidR="00367D1A" w:rsidRPr="00674790" w:rsidRDefault="00367D1A" w:rsidP="00367D1A">
      <w:pPr>
        <w:rPr>
          <w:rFonts w:cs="Arial"/>
        </w:rPr>
      </w:pPr>
    </w:p>
    <w:p w:rsidR="00367D1A" w:rsidRPr="00674790" w:rsidRDefault="00367D1A" w:rsidP="00367D1A">
      <w:pPr>
        <w:rPr>
          <w:rFonts w:cs="Arial"/>
        </w:rPr>
      </w:pPr>
      <w:r w:rsidRPr="00674790">
        <w:rPr>
          <w:rFonts w:cs="Arial"/>
        </w:rPr>
        <w:t>Leider sind die Informationsblätter der Projekte sehr oft erst hinter einer Registrierung erhältlich. Die Plattformen sind zwar verpflichtet die Identität des Anlegers festzustellen, jedoch erst bei Abschluss eines Vertrages. Ein Vergleichen der Projekte im Detail ist also erst nach Registrierung für den Verbraucher realistisch möglich.</w:t>
      </w:r>
    </w:p>
    <w:p w:rsidR="00367D1A" w:rsidRPr="00674790" w:rsidRDefault="00367D1A" w:rsidP="00367D1A">
      <w:pPr>
        <w:rPr>
          <w:rFonts w:cs="Arial"/>
        </w:rPr>
      </w:pPr>
    </w:p>
    <w:p w:rsidR="00367D1A" w:rsidRPr="00674790" w:rsidRDefault="00367D1A" w:rsidP="00367D1A">
      <w:pPr>
        <w:rPr>
          <w:rFonts w:cs="Arial"/>
        </w:rPr>
      </w:pPr>
      <w:r w:rsidRPr="00674790">
        <w:rPr>
          <w:rFonts w:cs="Arial"/>
        </w:rPr>
        <w:t xml:space="preserve">Die Plattformen haben natürlich ein gewisses Eigeninteresse, dass nur sinnvolle Projekte angeboten werden. Also auch die dahinterstehende Geschäftsidee stichhaltig ist. Allerdings sollte sich ein Anleger nicht darauf verlassen. Auch die Plattformen müssen keine inhaltlichen Prüfungen der Wirtschaftlichkeit oder eine Prüfung des Businessplanes durchführen. </w:t>
      </w:r>
    </w:p>
    <w:p w:rsidR="00B340EA" w:rsidRPr="00674790" w:rsidRDefault="00B340EA" w:rsidP="009304A2">
      <w:r w:rsidRPr="00674790">
        <w:br w:type="page"/>
      </w:r>
    </w:p>
    <w:p w:rsidR="0055498D" w:rsidRDefault="0055498D">
      <w:pPr>
        <w:rPr>
          <w:rFonts w:cs="Arial"/>
        </w:rPr>
      </w:pPr>
      <w:r>
        <w:rPr>
          <w:rFonts w:cs="Arial"/>
        </w:rPr>
        <w:lastRenderedPageBreak/>
        <w:t xml:space="preserve">Problematisch dabei ist aus Verbrauchersicht das Auffinden entsprechender Angebote. Um Vergleiche anzustellen ist ein Zugriff zu den einzelnen Daten notwendig. Um diese Daten von den Plattformen zu erhalten ist sehr oft eine Registrierung notwendig. Diese Rahmenparameter erschweren den Zugang und die Transparenz für den interessierten Verbraucher enorm. </w:t>
      </w:r>
    </w:p>
    <w:p w:rsidR="0055498D" w:rsidRDefault="0055498D">
      <w:pPr>
        <w:rPr>
          <w:rFonts w:cs="Arial"/>
        </w:rPr>
      </w:pPr>
    </w:p>
    <w:p w:rsidR="00420970" w:rsidRDefault="0055498D">
      <w:pPr>
        <w:rPr>
          <w:rFonts w:cs="Arial"/>
        </w:rPr>
      </w:pPr>
      <w:r>
        <w:rPr>
          <w:rFonts w:cs="Arial"/>
        </w:rPr>
        <w:t xml:space="preserve">Andererseits verhindern sie „Wettbewerb“ zwischen den einzelnen Projekten. Beispielsweise bietet die Plattform </w:t>
      </w:r>
      <w:proofErr w:type="spellStart"/>
      <w:r>
        <w:rPr>
          <w:rFonts w:cs="Arial"/>
        </w:rPr>
        <w:t>Conda</w:t>
      </w:r>
      <w:proofErr w:type="spellEnd"/>
      <w:r>
        <w:rPr>
          <w:rFonts w:cs="Arial"/>
        </w:rPr>
        <w:t xml:space="preserve"> nahezu alle Projekte mit einer Basisverzinsung von 4,5% (5,5% für Frühzeichner) und einer Gewinnbeteiligung nach Entwicklung Multipler Unternehmenswert an. Dahingehend ist weder eine Änderung aufgrund geänderter Kapitalmarktsituation (ist im Betrachtungszeitraum zwar sehr stabil aber Kreditangebote haben doch gewisse Schwankungen gezeigt) noch auf Basis des Risikos (Bonität, Risikoeinschätzung der Unternehmung) erfolgt.</w:t>
      </w:r>
    </w:p>
    <w:p w:rsidR="00420970" w:rsidRDefault="00420970">
      <w:pPr>
        <w:rPr>
          <w:rFonts w:cs="Arial"/>
        </w:rPr>
      </w:pPr>
    </w:p>
    <w:p w:rsidR="00E16718" w:rsidRDefault="00420970">
      <w:pPr>
        <w:rPr>
          <w:rFonts w:cs="Arial"/>
        </w:rPr>
      </w:pPr>
      <w:r>
        <w:rPr>
          <w:rFonts w:cs="Arial"/>
        </w:rPr>
        <w:t xml:space="preserve">Eine weitere Art der Platzierung ist eine Art Tendersystem, die von der Plattform </w:t>
      </w:r>
      <w:proofErr w:type="spellStart"/>
      <w:r>
        <w:rPr>
          <w:rFonts w:cs="Arial"/>
        </w:rPr>
        <w:t>finnest</w:t>
      </w:r>
      <w:proofErr w:type="spellEnd"/>
      <w:r>
        <w:rPr>
          <w:rFonts w:cs="Arial"/>
        </w:rPr>
        <w:t xml:space="preserve"> eingeführt wurde. Dabei werden in einem Datenraum die Angebote der Kreditgeber eingestellt und je nach Bedarf dann angenommen (einheitlicher Zinssatz für alle</w:t>
      </w:r>
      <w:r w:rsidR="00C55E1F">
        <w:rPr>
          <w:rFonts w:cs="Arial"/>
        </w:rPr>
        <w:t xml:space="preserve"> – analog holländischem Verfahren</w:t>
      </w:r>
      <w:r>
        <w:rPr>
          <w:rFonts w:cs="Arial"/>
        </w:rPr>
        <w:t>). Diese Verfahrensweise hat den Vorteil einer gebotsabhängigen Verzinsung allerdings wird die Preisfindung auf den Kreditgeber verlagert, was für Kleinanleger ohne Vergleichsmöglichkeiten (s.o. erschwerter Vergleich zwischen Plattformen) eine deutliche Risikoab</w:t>
      </w:r>
      <w:r w:rsidR="0024768B">
        <w:rPr>
          <w:rFonts w:cs="Arial"/>
        </w:rPr>
        <w:t>wälzung und Benachteiligung ist, insbesondere bei geringerer Erfahrung mit der Bewertung der kreditnehmenden Unternehmen.</w:t>
      </w:r>
    </w:p>
    <w:p w:rsidR="00367D1A" w:rsidRDefault="00367D1A">
      <w:pPr>
        <w:rPr>
          <w:rFonts w:cs="Arial"/>
        </w:rPr>
      </w:pPr>
      <w:r>
        <w:rPr>
          <w:rFonts w:cs="Arial"/>
        </w:rPr>
        <w:br w:type="page"/>
      </w:r>
    </w:p>
    <w:p w:rsidR="00E16718" w:rsidRDefault="00E16718">
      <w:pPr>
        <w:rPr>
          <w:rFonts w:cs="Arial"/>
        </w:rPr>
      </w:pPr>
    </w:p>
    <w:p w:rsidR="00B0363B" w:rsidRDefault="00B0363B" w:rsidP="00B0363B">
      <w:pPr>
        <w:pStyle w:val="berschrift1"/>
      </w:pPr>
      <w:bookmarkStart w:id="22" w:name="_Toc513756855"/>
      <w:r>
        <w:t>Verzinsung</w:t>
      </w:r>
      <w:bookmarkEnd w:id="22"/>
    </w:p>
    <w:p w:rsidR="00B0363B" w:rsidRDefault="00B0363B" w:rsidP="00B0363B">
      <w:r>
        <w:t>Die Verzinsung unterscheidet sich erheblich anhand mehrerer Parameter.</w:t>
      </w:r>
    </w:p>
    <w:p w:rsidR="00D73917" w:rsidRDefault="00D73917" w:rsidP="00B0363B"/>
    <w:p w:rsidR="00D73917" w:rsidRDefault="00D73917" w:rsidP="00B0363B">
      <w:r>
        <w:t xml:space="preserve">Generell ist festzustellen, dass sich am Markt ein „Frühzeichner“-Bonus in Höhe von 1 bis 2 %-Punkten etabliert hat. </w:t>
      </w:r>
    </w:p>
    <w:p w:rsidR="00D73917" w:rsidRDefault="00D73917" w:rsidP="00B0363B"/>
    <w:p w:rsidR="00D73917" w:rsidRDefault="00D73917" w:rsidP="00B0363B">
      <w:r>
        <w:t>Aus Sicht des Verbrauchers besteht dabei die Gefahr, dass man schnell zeichnet ohne Vergleichsangebote zu prüfen, nur um die 1 bis 2 Monate laufende höhere Basisverzinsung zu lukrieren. Also ein indirekter Weg um Anleger zu einer schnellen und vielleicht unüberlegten Zeichnung zu manipulieren.</w:t>
      </w:r>
    </w:p>
    <w:p w:rsidR="00D73917" w:rsidRDefault="00D73917" w:rsidP="00B0363B"/>
    <w:p w:rsidR="00D73917" w:rsidRDefault="00D73917" w:rsidP="00D73917">
      <w:pPr>
        <w:pStyle w:val="berschrift2"/>
      </w:pPr>
      <w:bookmarkStart w:id="23" w:name="_Toc513756856"/>
      <w:r>
        <w:t>Immobilienunternehmen</w:t>
      </w:r>
      <w:bookmarkEnd w:id="23"/>
    </w:p>
    <w:p w:rsidR="00B0363B" w:rsidRDefault="00B0363B" w:rsidP="00B0363B"/>
    <w:p w:rsidR="005B7876" w:rsidRDefault="00B0363B" w:rsidP="00B0363B">
      <w:r>
        <w:t xml:space="preserve">Zuallererst fällt ins Auge, dass Immobilienentwicklungsprojekte eine tendenziell höhere Basisverzinsung bieten. </w:t>
      </w:r>
      <w:r w:rsidR="005B7876">
        <w:t>Im Gegenzug bieten direkte Immobilienprojekte keine Gewinnbeteiligung.</w:t>
      </w:r>
    </w:p>
    <w:p w:rsidR="005B7876" w:rsidRDefault="00BC6B3E" w:rsidP="00B0363B">
      <w:r>
        <w:t>Zwar sind durch die relativ fix bekannten Verkaufserlöse und die geplanten Gestehungskosten hier die Rahmendaten etwas genauer bekannt, trotzdem sollte auch bei Immobilienprojekten eine Erfolgsbeteiligung bei Nachrangdarlehn implementiert werden.</w:t>
      </w:r>
    </w:p>
    <w:p w:rsidR="005B7876" w:rsidRDefault="005B7876" w:rsidP="00B0363B"/>
    <w:p w:rsidR="00A95FEB" w:rsidRDefault="00A95FEB" w:rsidP="00B0363B">
      <w:r>
        <w:t>Als Datenbasis für Immobilienprojekte liegen 43 Finanzierungsprojekte zu Grunde.</w:t>
      </w:r>
    </w:p>
    <w:p w:rsidR="00A95FEB" w:rsidRDefault="00A95FEB" w:rsidP="00B0363B"/>
    <w:p w:rsidR="005B7876" w:rsidRDefault="005B7876" w:rsidP="00B0363B">
      <w:r>
        <w:t xml:space="preserve">Die durchschnittliche Basisverzinsung bei Immobilienprojekten liegt mit 6,52% deutlich über den </w:t>
      </w:r>
      <w:proofErr w:type="spellStart"/>
      <w:r>
        <w:t>Kaptialmarktzinsen</w:t>
      </w:r>
      <w:proofErr w:type="spellEnd"/>
      <w:r>
        <w:t xml:space="preserve"> und kann als Ausgleich für das hohe Risikopotenzial der Veranlagung als Nachrangdarlehen angesehen werden.</w:t>
      </w:r>
    </w:p>
    <w:p w:rsidR="00A95FEB" w:rsidRDefault="00A95FEB" w:rsidP="00B0363B">
      <w:r>
        <w:t>Der Median der Angebote liegt bei 6,75%</w:t>
      </w:r>
    </w:p>
    <w:p w:rsidR="005B7876" w:rsidRDefault="005B7876" w:rsidP="00B0363B"/>
    <w:p w:rsidR="00B340EA" w:rsidRDefault="005B7876" w:rsidP="00B0363B">
      <w:r>
        <w:t>Die Spannbreite bei diesen Projekten ist von 4 bis 7,5% doch sehr breit.</w:t>
      </w:r>
    </w:p>
    <w:p w:rsidR="00367D1A" w:rsidRDefault="00367D1A" w:rsidP="00B0363B"/>
    <w:p w:rsidR="00367D1A" w:rsidRDefault="00367D1A">
      <w:r>
        <w:br w:type="page"/>
      </w:r>
    </w:p>
    <w:p w:rsidR="00367D1A" w:rsidRPr="00674790" w:rsidRDefault="00367D1A" w:rsidP="00B0363B"/>
    <w:p w:rsidR="00D73917" w:rsidRDefault="00D73917" w:rsidP="00D73917">
      <w:pPr>
        <w:pStyle w:val="berschrift2"/>
      </w:pPr>
      <w:bookmarkStart w:id="24" w:name="_Toc513756857"/>
      <w:r>
        <w:t>Startups</w:t>
      </w:r>
      <w:bookmarkEnd w:id="24"/>
    </w:p>
    <w:p w:rsidR="00D73917" w:rsidRDefault="00CA744F" w:rsidP="00D73917">
      <w:r>
        <w:t>Bei Startups ist eine wesentlich stärkere Spannweite bei der Basisverzinsung festzustellen. Bei 72 berücksichtigten Startups liegt die Basisverzinsung zwischen 1 und 8 %.</w:t>
      </w:r>
    </w:p>
    <w:p w:rsidR="00CA744F" w:rsidRDefault="00CA744F" w:rsidP="00D73917">
      <w:r>
        <w:t>Im Mittel wurde eine Verzinsung von 4,7% geboten.</w:t>
      </w:r>
    </w:p>
    <w:p w:rsidR="00CA744F" w:rsidRDefault="00CA744F" w:rsidP="00D73917"/>
    <w:p w:rsidR="00CA744F" w:rsidRDefault="00CA744F" w:rsidP="00D73917">
      <w:r>
        <w:t xml:space="preserve">2 Anbieter boten Genussrechte, 1 x wurde eine Beteiligung als Finanzierungsform gewählt. </w:t>
      </w:r>
    </w:p>
    <w:p w:rsidR="00CA744F" w:rsidRDefault="00CA744F" w:rsidP="00D73917"/>
    <w:p w:rsidR="00CA744F" w:rsidRDefault="00CA744F" w:rsidP="00D73917">
      <w:r>
        <w:t>54 der Startups gewährten zusätzlich eine Erfolgsbeteiligung.</w:t>
      </w:r>
    </w:p>
    <w:p w:rsidR="00CA744F" w:rsidRDefault="00CA744F" w:rsidP="00D73917"/>
    <w:p w:rsidR="00D73917" w:rsidRDefault="00D73917" w:rsidP="00D73917"/>
    <w:p w:rsidR="00D73917" w:rsidRDefault="00D73917" w:rsidP="00D73917">
      <w:r>
        <w:t>Einzelfallanmerkungen:</w:t>
      </w:r>
    </w:p>
    <w:p w:rsidR="00D73917" w:rsidRDefault="00D73917" w:rsidP="00D73917"/>
    <w:p w:rsidR="00D73917" w:rsidRDefault="00D73917" w:rsidP="00D73917">
      <w:pPr>
        <w:pStyle w:val="Listenabsatz"/>
        <w:numPr>
          <w:ilvl w:val="0"/>
          <w:numId w:val="29"/>
        </w:numPr>
      </w:pPr>
      <w:r>
        <w:t>Für einen Verbraucher sehr intransparent ist eine Verzinsungsdarstellung der G.A. Service GmbH. Dort wurde Angestellten und ausgewählten Dritten eine Bonusverzinsung von 1% gewährt. Besonders der Passus ausgewählte Dritte ist nicht nachvollziehbar nach welchen Kriterien hier verbesserte Konditionen vergeben werden.</w:t>
      </w:r>
    </w:p>
    <w:p w:rsidR="00160848" w:rsidRDefault="00D73917" w:rsidP="00D73917">
      <w:pPr>
        <w:pStyle w:val="Listenabsatz"/>
        <w:numPr>
          <w:ilvl w:val="0"/>
          <w:numId w:val="29"/>
        </w:numPr>
      </w:pPr>
      <w:r>
        <w:t xml:space="preserve">Die Risotto-Box GmbH offerierte einen Bonuszinssatz ab einer Anlage von 5.000 Euro. </w:t>
      </w:r>
      <w:r w:rsidR="00CA744F">
        <w:t>Die gewählte Grenze schließt damit einen großen Teil der Kleinanleger aus, da mehr als der gesetzlich erlaubte Betrag anzulegen ist.</w:t>
      </w:r>
    </w:p>
    <w:p w:rsidR="00160848" w:rsidRDefault="00160848" w:rsidP="00160848"/>
    <w:p w:rsidR="00160848" w:rsidRDefault="00160848" w:rsidP="00C13932">
      <w:pPr>
        <w:pStyle w:val="berschrift2"/>
      </w:pPr>
      <w:bookmarkStart w:id="25" w:name="_Toc513756858"/>
      <w:r>
        <w:t>KMU</w:t>
      </w:r>
      <w:bookmarkEnd w:id="25"/>
    </w:p>
    <w:p w:rsidR="00002B76" w:rsidRDefault="00CA744F" w:rsidP="00160848">
      <w:r>
        <w:t xml:space="preserve"> </w:t>
      </w:r>
      <w:r w:rsidR="00160848">
        <w:t xml:space="preserve">Bei KMU findet sich eine Spannbreite der Basisverzinsung von 1 bi </w:t>
      </w:r>
      <w:proofErr w:type="gramStart"/>
      <w:r w:rsidR="00160848">
        <w:t>9,5%</w:t>
      </w:r>
      <w:proofErr w:type="gramEnd"/>
      <w:r w:rsidR="00002B76">
        <w:t xml:space="preserve">. Der Mittelwert der Angebote liegt dabei bei 5,03%. </w:t>
      </w:r>
    </w:p>
    <w:p w:rsidR="00002B76" w:rsidRDefault="00002B76" w:rsidP="00160848"/>
    <w:p w:rsidR="00002B76" w:rsidRDefault="00002B76" w:rsidP="00160848">
      <w:r>
        <w:t xml:space="preserve">Bemerkenswert ist dabei, dass im Mittel die KMU somit eine höhere Basisverzinsung bieten als Startups, was nicht primär mit der Risikosituation bzw. der Abschätzbarkeit der Geschäftsentwicklung begründet werden kann. </w:t>
      </w:r>
    </w:p>
    <w:p w:rsidR="00002B76" w:rsidRDefault="00002B76" w:rsidP="00160848"/>
    <w:p w:rsidR="00002B76" w:rsidRDefault="00002B76" w:rsidP="00160848">
      <w:r>
        <w:t>Als Besonderheit wird von einer Plattform (</w:t>
      </w:r>
      <w:proofErr w:type="spellStart"/>
      <w:r>
        <w:t>finnest</w:t>
      </w:r>
      <w:proofErr w:type="spellEnd"/>
      <w:r>
        <w:t xml:space="preserve">) eine Art Versteigerungsplattform bzw. Tenderverfahren bei der Bestimmung des Zinssatzes benutzt. Dabei können durch die Anleger entsprechende Angebote auf der Homepage </w:t>
      </w:r>
      <w:proofErr w:type="spellStart"/>
      <w:r>
        <w:t>eingemeldet</w:t>
      </w:r>
      <w:proofErr w:type="spellEnd"/>
      <w:r>
        <w:t xml:space="preserve"> werden, die Verzinsung wird dann so gewählt, dass die gewünschte Zeichnungssumme erreicht wird. </w:t>
      </w:r>
    </w:p>
    <w:p w:rsidR="00002B76" w:rsidRDefault="00002B76" w:rsidP="00160848">
      <w:r>
        <w:t>Dieses Verfahren kann aus Verbrauchergesichtspunkten nur als sehr gefährlich bezeichnet werden.</w:t>
      </w:r>
    </w:p>
    <w:p w:rsidR="00002B76" w:rsidRDefault="00002B76" w:rsidP="00160848">
      <w:r>
        <w:t>Nicht nur wird die Preisbestimmung auf den Verbraucher verlagert, gleichzeitig erfolgt der Druck, eine möglichst niedrige Rendite anzugeben um überhaupt zum Zuge zu kommen.</w:t>
      </w:r>
    </w:p>
    <w:p w:rsidR="00002B76" w:rsidRDefault="00002B76" w:rsidP="00160848">
      <w:r>
        <w:t>Eine marktgerechte Preisfindung muss hierbei bezweifelt werden.</w:t>
      </w:r>
    </w:p>
    <w:p w:rsidR="00B340EA" w:rsidRDefault="00002B76" w:rsidP="00160848">
      <w:r>
        <w:t>Leider erfolgen keine Rückmeldungen bzgl. der Erfolge der Zeichnungen, insofern können keine Aussagen über die dabei erzielten Verzinsungen gemacht werden.</w:t>
      </w:r>
      <w:r w:rsidR="00B340EA" w:rsidRPr="00674790">
        <w:br w:type="page"/>
      </w:r>
    </w:p>
    <w:p w:rsidR="00160848" w:rsidRPr="00674790" w:rsidRDefault="00160848" w:rsidP="00160848">
      <w:pPr>
        <w:ind w:left="360"/>
      </w:pPr>
    </w:p>
    <w:p w:rsidR="00CA744F" w:rsidRDefault="00CA744F" w:rsidP="00CA744F">
      <w:pPr>
        <w:pStyle w:val="berschrift1"/>
      </w:pPr>
      <w:bookmarkStart w:id="26" w:name="_Toc513756859"/>
      <w:r>
        <w:t>Erfolgsbeteiligung</w:t>
      </w:r>
      <w:bookmarkEnd w:id="26"/>
    </w:p>
    <w:p w:rsidR="00B131D5" w:rsidRDefault="00CA744F" w:rsidP="00CA744F">
      <w:r>
        <w:t xml:space="preserve">Erfolgsbeteiligungen sind durch die Charakteristik der Nachrangdarlehen als eigenkapitalähnlich </w:t>
      </w:r>
      <w:r w:rsidR="00B131D5">
        <w:t>ein sinnvolles Instrument zum Ausgleich des Risikos für den Anleger.</w:t>
      </w:r>
    </w:p>
    <w:p w:rsidR="00B131D5" w:rsidRDefault="00B131D5" w:rsidP="00CA744F"/>
    <w:p w:rsidR="00B131D5" w:rsidRDefault="00B131D5" w:rsidP="00CA744F">
      <w:r>
        <w:t xml:space="preserve">Dabei erfolgen Erfolgsbeteiligungen in den unterschiedlichsten Formen. Während einzelne Plattformen eine fast durchgängige einheitliche </w:t>
      </w:r>
      <w:proofErr w:type="gramStart"/>
      <w:r>
        <w:t>Erfolgsbeteiligungen</w:t>
      </w:r>
      <w:proofErr w:type="gramEnd"/>
      <w:r>
        <w:t xml:space="preserve"> vorsehen, stellen andere Anbieter auf die jeweiligen Eigenheiten des zu finanzierenden Projektes ab.</w:t>
      </w:r>
    </w:p>
    <w:p w:rsidR="00B131D5" w:rsidRDefault="00B131D5" w:rsidP="00CA744F"/>
    <w:p w:rsidR="00B131D5" w:rsidRDefault="00B131D5" w:rsidP="00CA744F">
      <w:r>
        <w:t xml:space="preserve">Die Plattform </w:t>
      </w:r>
      <w:proofErr w:type="spellStart"/>
      <w:r>
        <w:t>Conda</w:t>
      </w:r>
      <w:proofErr w:type="spellEnd"/>
      <w:r>
        <w:t xml:space="preserve"> hat im Betrachtungszeitraum bei nahezu allen Projekten eine Unternehmenswertbeteiligung als Erfolgsbeteiligung gewählt.</w:t>
      </w:r>
    </w:p>
    <w:p w:rsidR="00B131D5" w:rsidRDefault="00B131D5" w:rsidP="00CA744F">
      <w:r>
        <w:t>Diese basiert auf einer Unternehmenswertbeteiligungsberechnung nach einem standardisierten Vorgehen.</w:t>
      </w:r>
    </w:p>
    <w:p w:rsidR="00B131D5" w:rsidRDefault="00B131D5" w:rsidP="00CA744F"/>
    <w:p w:rsidR="00DB3512" w:rsidRDefault="00DB3512" w:rsidP="00CA744F">
      <w:r>
        <w:t>Dieses wird im Infoblatt folgendermaßen angegeben:</w:t>
      </w:r>
    </w:p>
    <w:p w:rsidR="00DB3512" w:rsidRDefault="00DB3512" w:rsidP="00CA744F"/>
    <w:p w:rsidR="00DB3512" w:rsidRPr="00DB3512" w:rsidRDefault="00DB3512" w:rsidP="00DB3512">
      <w:pPr>
        <w:autoSpaceDE w:val="0"/>
        <w:autoSpaceDN w:val="0"/>
        <w:adjustRightInd w:val="0"/>
        <w:rPr>
          <w:rFonts w:ascii="ArialMT" w:hAnsi="ArialMT" w:cs="ArialMT"/>
          <w:i/>
          <w:sz w:val="20"/>
          <w:szCs w:val="16"/>
          <w:lang w:val="de-AT" w:eastAsia="de-AT"/>
        </w:rPr>
      </w:pPr>
      <w:r w:rsidRPr="00DB3512">
        <w:rPr>
          <w:rFonts w:ascii="ArialMT" w:hAnsi="ArialMT" w:cs="ArialMT"/>
          <w:i/>
          <w:sz w:val="20"/>
          <w:szCs w:val="16"/>
          <w:lang w:val="de-AT" w:eastAsia="de-AT"/>
        </w:rPr>
        <w:t>Die Unternehmenswertbeteiligung berechnet sich durch Multiplikation des Beteiligungsanteils mit dem Umsatz-</w:t>
      </w:r>
    </w:p>
    <w:p w:rsidR="00DB3512" w:rsidRPr="00DB3512" w:rsidRDefault="00DB3512" w:rsidP="00DB3512">
      <w:pPr>
        <w:autoSpaceDE w:val="0"/>
        <w:autoSpaceDN w:val="0"/>
        <w:adjustRightInd w:val="0"/>
        <w:rPr>
          <w:rFonts w:ascii="ArialMT" w:hAnsi="ArialMT" w:cs="ArialMT"/>
          <w:i/>
          <w:sz w:val="20"/>
          <w:szCs w:val="16"/>
          <w:lang w:val="de-AT" w:eastAsia="de-AT"/>
        </w:rPr>
      </w:pPr>
      <w:r w:rsidRPr="00DB3512">
        <w:rPr>
          <w:rFonts w:ascii="ArialMT" w:hAnsi="ArialMT" w:cs="ArialMT"/>
          <w:i/>
          <w:sz w:val="20"/>
          <w:szCs w:val="16"/>
          <w:lang w:val="de-AT" w:eastAsia="de-AT"/>
        </w:rPr>
        <w:t xml:space="preserve">Multiple-Unternehmenswert abzüglich </w:t>
      </w:r>
      <w:proofErr w:type="gramStart"/>
      <w:r w:rsidRPr="00DB3512">
        <w:rPr>
          <w:rFonts w:ascii="ArialMT" w:hAnsi="ArialMT" w:cs="ArialMT"/>
          <w:i/>
          <w:sz w:val="20"/>
          <w:szCs w:val="16"/>
          <w:lang w:val="de-AT" w:eastAsia="de-AT"/>
        </w:rPr>
        <w:t>dem investierten Darlehensbetrag</w:t>
      </w:r>
      <w:proofErr w:type="gramEnd"/>
      <w:r w:rsidRPr="00DB3512">
        <w:rPr>
          <w:rFonts w:ascii="ArialMT" w:hAnsi="ArialMT" w:cs="ArialMT"/>
          <w:i/>
          <w:sz w:val="20"/>
          <w:szCs w:val="16"/>
          <w:lang w:val="de-AT" w:eastAsia="de-AT"/>
        </w:rPr>
        <w:t>. Von dem solcherart ermittelten Betrag</w:t>
      </w:r>
    </w:p>
    <w:p w:rsidR="00DB3512" w:rsidRPr="00DB3512" w:rsidRDefault="00DB3512" w:rsidP="00DB3512">
      <w:pPr>
        <w:autoSpaceDE w:val="0"/>
        <w:autoSpaceDN w:val="0"/>
        <w:adjustRightInd w:val="0"/>
        <w:rPr>
          <w:rFonts w:ascii="ArialMT" w:hAnsi="ArialMT" w:cs="ArialMT"/>
          <w:i/>
          <w:sz w:val="20"/>
          <w:szCs w:val="16"/>
          <w:lang w:val="de-AT" w:eastAsia="de-AT"/>
        </w:rPr>
      </w:pPr>
      <w:r w:rsidRPr="00DB3512">
        <w:rPr>
          <w:rFonts w:ascii="ArialMT" w:hAnsi="ArialMT" w:cs="ArialMT"/>
          <w:i/>
          <w:sz w:val="20"/>
          <w:szCs w:val="16"/>
          <w:lang w:val="de-AT" w:eastAsia="de-AT"/>
        </w:rPr>
        <w:t>sind anteilig je Anleger die im Zusammenhang mit der Abwicklung der Unternehmenswertbeteiligung</w:t>
      </w:r>
    </w:p>
    <w:p w:rsidR="00DB3512" w:rsidRPr="00DB3512" w:rsidRDefault="00DB3512" w:rsidP="00DB3512">
      <w:pPr>
        <w:autoSpaceDE w:val="0"/>
        <w:autoSpaceDN w:val="0"/>
        <w:adjustRightInd w:val="0"/>
        <w:rPr>
          <w:rFonts w:ascii="ArialMT" w:hAnsi="ArialMT" w:cs="ArialMT"/>
          <w:i/>
          <w:sz w:val="20"/>
          <w:szCs w:val="16"/>
          <w:lang w:val="de-AT" w:eastAsia="de-AT"/>
        </w:rPr>
      </w:pPr>
      <w:r w:rsidRPr="00DB3512">
        <w:rPr>
          <w:rFonts w:ascii="ArialMT" w:hAnsi="ArialMT" w:cs="ArialMT"/>
          <w:i/>
          <w:sz w:val="20"/>
          <w:szCs w:val="16"/>
          <w:lang w:val="de-AT" w:eastAsia="de-AT"/>
        </w:rPr>
        <w:t>verbundenen Kosten für die Nutzung der Plattform der CONDA AG (entspricht 15 % der</w:t>
      </w:r>
    </w:p>
    <w:p w:rsidR="00DB3512" w:rsidRDefault="00DB3512" w:rsidP="00DB3512">
      <w:pPr>
        <w:rPr>
          <w:rFonts w:ascii="ArialMT" w:hAnsi="ArialMT" w:cs="ArialMT"/>
          <w:i/>
          <w:sz w:val="20"/>
          <w:szCs w:val="16"/>
          <w:lang w:val="de-AT" w:eastAsia="de-AT"/>
        </w:rPr>
      </w:pPr>
      <w:r w:rsidRPr="00DB3512">
        <w:rPr>
          <w:rFonts w:ascii="ArialMT" w:hAnsi="ArialMT" w:cs="ArialMT"/>
          <w:i/>
          <w:sz w:val="20"/>
          <w:szCs w:val="16"/>
          <w:lang w:val="de-AT" w:eastAsia="de-AT"/>
        </w:rPr>
        <w:t>Unternehmenswertbeteiligung vor Berücksichtigung der Abwicklungskosten) abzuziehen.</w:t>
      </w:r>
    </w:p>
    <w:p w:rsidR="00DB3512" w:rsidRDefault="00DB3512" w:rsidP="00DB3512">
      <w:pPr>
        <w:rPr>
          <w:rFonts w:ascii="ArialMT" w:hAnsi="ArialMT" w:cs="ArialMT"/>
          <w:i/>
          <w:sz w:val="20"/>
          <w:szCs w:val="16"/>
          <w:lang w:val="de-AT" w:eastAsia="de-AT"/>
        </w:rPr>
      </w:pPr>
    </w:p>
    <w:p w:rsidR="00DB3512" w:rsidRDefault="00DB3512" w:rsidP="00DB3512">
      <w:r>
        <w:t>Ausführlichere Bestimmungen sind im Darlehnsvertrag ausgeführt:</w:t>
      </w:r>
    </w:p>
    <w:p w:rsidR="00DB3512" w:rsidRDefault="00DB3512" w:rsidP="00DB3512"/>
    <w:p w:rsidR="00DB3512" w:rsidRDefault="00DB3512" w:rsidP="00DB3512">
      <w:r>
        <w:rPr>
          <w:noProof/>
          <w:lang w:val="de-AT" w:eastAsia="de-AT"/>
        </w:rPr>
        <w:drawing>
          <wp:inline distT="0" distB="0" distL="0" distR="0" wp14:anchorId="2C9B334B" wp14:editId="798FD2F2">
            <wp:extent cx="5759450" cy="253988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2539889"/>
                    </a:xfrm>
                    <a:prstGeom prst="rect">
                      <a:avLst/>
                    </a:prstGeom>
                  </pic:spPr>
                </pic:pic>
              </a:graphicData>
            </a:graphic>
          </wp:inline>
        </w:drawing>
      </w:r>
    </w:p>
    <w:p w:rsidR="00DB3512" w:rsidRDefault="00DB3512" w:rsidP="00DB3512"/>
    <w:p w:rsidR="0015288F" w:rsidRDefault="00DB3512" w:rsidP="00DB3512">
      <w:r>
        <w:rPr>
          <w:noProof/>
          <w:lang w:val="de-AT" w:eastAsia="de-AT"/>
        </w:rPr>
        <w:lastRenderedPageBreak/>
        <w:drawing>
          <wp:inline distT="0" distB="0" distL="0" distR="0" wp14:anchorId="2CB2D9DC" wp14:editId="4CD60DCB">
            <wp:extent cx="4371975" cy="74009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71975" cy="7400925"/>
                    </a:xfrm>
                    <a:prstGeom prst="rect">
                      <a:avLst/>
                    </a:prstGeom>
                  </pic:spPr>
                </pic:pic>
              </a:graphicData>
            </a:graphic>
          </wp:inline>
        </w:drawing>
      </w:r>
    </w:p>
    <w:p w:rsidR="0015288F" w:rsidRDefault="0015288F" w:rsidP="00DB3512"/>
    <w:p w:rsidR="00B340EA" w:rsidRPr="00DB3512" w:rsidRDefault="0015288F" w:rsidP="00DB3512">
      <w:r>
        <w:rPr>
          <w:noProof/>
          <w:lang w:val="de-AT" w:eastAsia="de-AT"/>
        </w:rPr>
        <w:lastRenderedPageBreak/>
        <w:drawing>
          <wp:inline distT="0" distB="0" distL="0" distR="0" wp14:anchorId="3290A8EF" wp14:editId="0B89A27F">
            <wp:extent cx="4048125" cy="8143875"/>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48125" cy="8143875"/>
                    </a:xfrm>
                    <a:prstGeom prst="rect">
                      <a:avLst/>
                    </a:prstGeom>
                  </pic:spPr>
                </pic:pic>
              </a:graphicData>
            </a:graphic>
          </wp:inline>
        </w:drawing>
      </w:r>
      <w:r w:rsidR="00B340EA" w:rsidRPr="00DB3512">
        <w:br w:type="page"/>
      </w:r>
    </w:p>
    <w:p w:rsidR="00512B46" w:rsidRDefault="00512B46">
      <w:pPr>
        <w:rPr>
          <w:rFonts w:cs="Arial"/>
        </w:rPr>
      </w:pPr>
      <w:proofErr w:type="gramStart"/>
      <w:r>
        <w:rPr>
          <w:rFonts w:cs="Arial"/>
        </w:rPr>
        <w:lastRenderedPageBreak/>
        <w:t>Die</w:t>
      </w:r>
      <w:proofErr w:type="gramEnd"/>
      <w:r>
        <w:rPr>
          <w:rFonts w:cs="Arial"/>
        </w:rPr>
        <w:t xml:space="preserve"> gewählte standardisierte (auch außerhalb des </w:t>
      </w:r>
      <w:proofErr w:type="spellStart"/>
      <w:r>
        <w:rPr>
          <w:rFonts w:cs="Arial"/>
        </w:rPr>
        <w:t>Crowdinvesting</w:t>
      </w:r>
      <w:proofErr w:type="spellEnd"/>
      <w:r>
        <w:rPr>
          <w:rFonts w:cs="Arial"/>
        </w:rPr>
        <w:t xml:space="preserve"> und </w:t>
      </w:r>
      <w:proofErr w:type="spellStart"/>
      <w:r>
        <w:rPr>
          <w:rFonts w:cs="Arial"/>
        </w:rPr>
        <w:t>AltFG</w:t>
      </w:r>
      <w:proofErr w:type="spellEnd"/>
      <w:r>
        <w:rPr>
          <w:rFonts w:cs="Arial"/>
        </w:rPr>
        <w:t>) Bewertungsverfahren ist ein fairer Ansatz. Allerdings verdeutlicht er auch die für einen Verbraucher nur mühsam nachvollziehbare Wertermittlung seiner Beteiligung.</w:t>
      </w:r>
    </w:p>
    <w:p w:rsidR="00512B46" w:rsidRDefault="00512B46">
      <w:pPr>
        <w:rPr>
          <w:rFonts w:cs="Arial"/>
        </w:rPr>
      </w:pPr>
    </w:p>
    <w:p w:rsidR="00512B46" w:rsidRDefault="00512B46">
      <w:pPr>
        <w:rPr>
          <w:rFonts w:cs="Arial"/>
        </w:rPr>
      </w:pPr>
      <w:r>
        <w:rPr>
          <w:rFonts w:cs="Arial"/>
        </w:rPr>
        <w:t xml:space="preserve">Insgesamt halten wir diesen Wertansatz für realistischer als die Koppelung an eine bestimmte </w:t>
      </w:r>
      <w:proofErr w:type="spellStart"/>
      <w:r>
        <w:rPr>
          <w:rFonts w:cs="Arial"/>
        </w:rPr>
        <w:t>Meßgröße</w:t>
      </w:r>
      <w:proofErr w:type="spellEnd"/>
      <w:r>
        <w:rPr>
          <w:rFonts w:cs="Arial"/>
        </w:rPr>
        <w:t xml:space="preserve"> wie Umsatz oder ähnliches. </w:t>
      </w:r>
    </w:p>
    <w:p w:rsidR="00512B46" w:rsidRDefault="00512B46">
      <w:pPr>
        <w:rPr>
          <w:rFonts w:cs="Arial"/>
        </w:rPr>
      </w:pPr>
    </w:p>
    <w:p w:rsidR="00512B46" w:rsidRDefault="00512B46">
      <w:pPr>
        <w:rPr>
          <w:rFonts w:cs="Arial"/>
        </w:rPr>
      </w:pPr>
      <w:r>
        <w:rPr>
          <w:rFonts w:cs="Arial"/>
        </w:rPr>
        <w:t>Generell ist es bei der vorherrschenden Art der Finanzierungen (Nachrangdarlehen) angemessen, wenn an der Unternehmenswertentwicklung voll partizipiert werden kann.</w:t>
      </w:r>
    </w:p>
    <w:p w:rsidR="00512B46" w:rsidRDefault="00512B46">
      <w:pPr>
        <w:rPr>
          <w:rFonts w:cs="Arial"/>
        </w:rPr>
      </w:pPr>
    </w:p>
    <w:p w:rsidR="004B5F08" w:rsidRDefault="004B5F08">
      <w:pPr>
        <w:rPr>
          <w:rFonts w:cs="Arial"/>
        </w:rPr>
      </w:pPr>
      <w:r>
        <w:rPr>
          <w:rFonts w:cs="Arial"/>
        </w:rPr>
        <w:t>Andere Erfolgsbeteiligungsmodelle beziehen sich auf</w:t>
      </w:r>
    </w:p>
    <w:p w:rsidR="004B5F08" w:rsidRDefault="004B5F08">
      <w:pPr>
        <w:rPr>
          <w:rFonts w:cs="Arial"/>
        </w:rPr>
      </w:pPr>
    </w:p>
    <w:p w:rsidR="004B5F08" w:rsidRDefault="004B5F08" w:rsidP="004B5F08">
      <w:pPr>
        <w:pStyle w:val="Listenabsatz"/>
        <w:numPr>
          <w:ilvl w:val="0"/>
          <w:numId w:val="30"/>
        </w:numPr>
        <w:rPr>
          <w:rFonts w:cs="Arial"/>
        </w:rPr>
      </w:pPr>
      <w:r>
        <w:rPr>
          <w:rFonts w:cs="Arial"/>
        </w:rPr>
        <w:t>Die Kennzahl EBIT mit Boni bei Erreichen bestimmter Margen. Diese liegen zum Teil näher, zum Teil unrealistisch weit entfernt. Dabei ist allerdings die jeweilige Branche/Markt des Unternehmens zu berücksichtigen.</w:t>
      </w:r>
    </w:p>
    <w:p w:rsidR="004B5F08" w:rsidRDefault="004B5F08" w:rsidP="004B5F08">
      <w:pPr>
        <w:pStyle w:val="Listenabsatz"/>
        <w:numPr>
          <w:ilvl w:val="0"/>
          <w:numId w:val="30"/>
        </w:numPr>
        <w:rPr>
          <w:rFonts w:cs="Arial"/>
        </w:rPr>
      </w:pPr>
      <w:proofErr w:type="spellStart"/>
      <w:r>
        <w:rPr>
          <w:rFonts w:cs="Arial"/>
        </w:rPr>
        <w:t>NetDebt</w:t>
      </w:r>
      <w:proofErr w:type="spellEnd"/>
      <w:r>
        <w:rPr>
          <w:rFonts w:cs="Arial"/>
        </w:rPr>
        <w:t xml:space="preserve"> (</w:t>
      </w:r>
      <w:proofErr w:type="spellStart"/>
      <w:r>
        <w:rPr>
          <w:rFonts w:cs="Arial"/>
        </w:rPr>
        <w:t>Nettoverschultung</w:t>
      </w:r>
      <w:proofErr w:type="spellEnd"/>
      <w:r>
        <w:rPr>
          <w:rFonts w:cs="Arial"/>
        </w:rPr>
        <w:t>) zu EBITDA</w:t>
      </w:r>
    </w:p>
    <w:p w:rsidR="004B5F08" w:rsidRDefault="004B5F08" w:rsidP="004B5F08">
      <w:pPr>
        <w:pStyle w:val="Listenabsatz"/>
        <w:numPr>
          <w:ilvl w:val="0"/>
          <w:numId w:val="30"/>
        </w:numPr>
        <w:rPr>
          <w:rFonts w:cs="Arial"/>
        </w:rPr>
      </w:pPr>
      <w:r>
        <w:rPr>
          <w:rFonts w:cs="Arial"/>
        </w:rPr>
        <w:t>Überschreiten von Planumsatzzahlen</w:t>
      </w:r>
    </w:p>
    <w:p w:rsidR="00E32401" w:rsidRDefault="00E32401" w:rsidP="004B5F08">
      <w:pPr>
        <w:pStyle w:val="Listenabsatz"/>
        <w:numPr>
          <w:ilvl w:val="0"/>
          <w:numId w:val="30"/>
        </w:numPr>
        <w:rPr>
          <w:rFonts w:cs="Arial"/>
        </w:rPr>
      </w:pPr>
      <w:r>
        <w:rPr>
          <w:rFonts w:cs="Arial"/>
        </w:rPr>
        <w:t>Die jeweilige Erzeugungsmenge (hier Energieerzeugung bei Windkraft)</w:t>
      </w:r>
    </w:p>
    <w:p w:rsidR="00E32401" w:rsidRDefault="00E32401" w:rsidP="004B5F08">
      <w:pPr>
        <w:pStyle w:val="Listenabsatz"/>
        <w:numPr>
          <w:ilvl w:val="0"/>
          <w:numId w:val="30"/>
        </w:numPr>
        <w:rPr>
          <w:rFonts w:cs="Arial"/>
        </w:rPr>
      </w:pPr>
      <w:r>
        <w:rPr>
          <w:rFonts w:cs="Arial"/>
        </w:rPr>
        <w:t>Überschreiten eines ausgewiesenen Jahresgewinnes</w:t>
      </w:r>
    </w:p>
    <w:p w:rsidR="00E32401" w:rsidRDefault="00E32401" w:rsidP="004B5F08">
      <w:pPr>
        <w:pStyle w:val="Listenabsatz"/>
        <w:numPr>
          <w:ilvl w:val="0"/>
          <w:numId w:val="30"/>
        </w:numPr>
        <w:rPr>
          <w:rFonts w:cs="Arial"/>
        </w:rPr>
      </w:pPr>
      <w:r>
        <w:rPr>
          <w:rFonts w:cs="Arial"/>
        </w:rPr>
        <w:t>Direkte Abhängigkeit des Bilanzgewinnes zur Investmentquote</w:t>
      </w:r>
    </w:p>
    <w:p w:rsidR="00E32401" w:rsidRDefault="00E32401" w:rsidP="004B5F08">
      <w:pPr>
        <w:pStyle w:val="Listenabsatz"/>
        <w:numPr>
          <w:ilvl w:val="0"/>
          <w:numId w:val="30"/>
        </w:numPr>
        <w:rPr>
          <w:rFonts w:cs="Arial"/>
        </w:rPr>
      </w:pPr>
      <w:r>
        <w:rPr>
          <w:rFonts w:cs="Arial"/>
        </w:rPr>
        <w:t>Abhängigkeit von Preisentwicklung Waren (hier speziell von Holzpellets)</w:t>
      </w:r>
    </w:p>
    <w:p w:rsidR="00E32401" w:rsidRDefault="00E32401" w:rsidP="004B5F08">
      <w:pPr>
        <w:pStyle w:val="Listenabsatz"/>
        <w:numPr>
          <w:ilvl w:val="0"/>
          <w:numId w:val="30"/>
        </w:numPr>
        <w:rPr>
          <w:rFonts w:cs="Arial"/>
        </w:rPr>
      </w:pPr>
      <w:r>
        <w:rPr>
          <w:rFonts w:cs="Arial"/>
        </w:rPr>
        <w:t>Entwicklung der Mitgliederzahl eines Vereins</w:t>
      </w:r>
    </w:p>
    <w:p w:rsidR="00EA48FE" w:rsidRDefault="00EA48FE" w:rsidP="00EA48FE">
      <w:pPr>
        <w:rPr>
          <w:rFonts w:cs="Arial"/>
        </w:rPr>
      </w:pPr>
    </w:p>
    <w:p w:rsidR="00EA48FE" w:rsidRDefault="00EA48FE" w:rsidP="00EA48FE">
      <w:pPr>
        <w:rPr>
          <w:rFonts w:cs="Arial"/>
        </w:rPr>
      </w:pPr>
      <w:r>
        <w:rPr>
          <w:rFonts w:cs="Arial"/>
        </w:rPr>
        <w:t>Es ist verständlich, dass ein Erfolgsbeteiligungsmodell auf den jeweiligen Emittenten anwendbar und sinnvoll sein muss. Allerdings ist eine Vergleichbarkeit der Chancen einer Beteiligung für einen Kleinanleger meist nicht abschätzbar.</w:t>
      </w:r>
    </w:p>
    <w:p w:rsidR="00EA48FE" w:rsidRDefault="00EA48FE" w:rsidP="00EA48FE">
      <w:pPr>
        <w:rPr>
          <w:rFonts w:cs="Arial"/>
        </w:rPr>
      </w:pPr>
    </w:p>
    <w:p w:rsidR="00EA48FE" w:rsidRPr="00EA48FE" w:rsidRDefault="00EA48FE" w:rsidP="00EA48FE">
      <w:pPr>
        <w:rPr>
          <w:rFonts w:cs="Arial"/>
        </w:rPr>
      </w:pPr>
      <w:r>
        <w:rPr>
          <w:rFonts w:cs="Arial"/>
        </w:rPr>
        <w:t xml:space="preserve">Insofern hat er nicht die Möglichkeit seine Partizipation an einem eventuellen Unternehmenserfolg abzuschätzen bzw. ist ein Vergleich verschiedener Angebote nur mit hohem Aufwand und notwendigem Wissen möglich. </w:t>
      </w:r>
    </w:p>
    <w:p w:rsidR="004F123A" w:rsidRDefault="004F123A">
      <w:pPr>
        <w:rPr>
          <w:rFonts w:cs="Arial"/>
        </w:rPr>
      </w:pPr>
      <w:r>
        <w:rPr>
          <w:rFonts w:cs="Arial"/>
        </w:rPr>
        <w:br w:type="page"/>
      </w:r>
    </w:p>
    <w:p w:rsidR="004B5F08" w:rsidRDefault="004B5F08">
      <w:pPr>
        <w:rPr>
          <w:rFonts w:cs="Arial"/>
        </w:rPr>
      </w:pPr>
    </w:p>
    <w:p w:rsidR="00324B6B" w:rsidRDefault="00324B6B">
      <w:pPr>
        <w:rPr>
          <w:rFonts w:cs="Arial"/>
        </w:rPr>
      </w:pPr>
      <w:r>
        <w:rPr>
          <w:rFonts w:cs="Arial"/>
        </w:rPr>
        <w:t>Bei den KMU boten 40 von 62 Projekten eine Erfolgsbeteiligung an. Der Mittelwert der Basisverzinsung mit Erfolgsbeteiligung lag bei 5,08%, der ohne Erfolgsbeteiligung bei 4,97%.</w:t>
      </w:r>
    </w:p>
    <w:p w:rsidR="00324B6B" w:rsidRDefault="00324B6B">
      <w:pPr>
        <w:rPr>
          <w:rFonts w:cs="Arial"/>
        </w:rPr>
      </w:pPr>
    </w:p>
    <w:p w:rsidR="00324B6B" w:rsidRDefault="00324B6B">
      <w:pPr>
        <w:rPr>
          <w:rFonts w:cs="Arial"/>
        </w:rPr>
      </w:pPr>
      <w:r>
        <w:rPr>
          <w:rFonts w:cs="Arial"/>
        </w:rPr>
        <w:t>Zu erwarten wäre eine höhere Verzinsung, wenn keine Erfolgsbeteiligung gewährt wird. Dies ist aber in der Tat nicht der Fall.</w:t>
      </w:r>
    </w:p>
    <w:p w:rsidR="004F123A" w:rsidRDefault="004F123A">
      <w:pPr>
        <w:rPr>
          <w:rFonts w:cs="Arial"/>
        </w:rPr>
      </w:pPr>
    </w:p>
    <w:p w:rsidR="004F123A" w:rsidRDefault="004F123A">
      <w:pPr>
        <w:rPr>
          <w:rFonts w:cs="Arial"/>
        </w:rPr>
      </w:pPr>
      <w:r>
        <w:rPr>
          <w:noProof/>
          <w:lang w:val="de-AT" w:eastAsia="de-AT"/>
        </w:rPr>
        <w:drawing>
          <wp:inline distT="0" distB="0" distL="0" distR="0" wp14:anchorId="7C864B0E" wp14:editId="0EA3AED7">
            <wp:extent cx="5759450" cy="4127142"/>
            <wp:effectExtent l="0" t="0" r="12700" b="26035"/>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24B6B" w:rsidRDefault="00324B6B">
      <w:pPr>
        <w:rPr>
          <w:rFonts w:cs="Arial"/>
        </w:rPr>
      </w:pPr>
    </w:p>
    <w:p w:rsidR="00324B6B" w:rsidRDefault="00324B6B">
      <w:pPr>
        <w:rPr>
          <w:rFonts w:cs="Arial"/>
        </w:rPr>
      </w:pPr>
      <w:r>
        <w:rPr>
          <w:rFonts w:cs="Arial"/>
        </w:rPr>
        <w:t>Ein</w:t>
      </w:r>
      <w:r w:rsidR="004B5F08">
        <w:rPr>
          <w:rFonts w:cs="Arial"/>
        </w:rPr>
        <w:t xml:space="preserve"> klarer Hinweis</w:t>
      </w:r>
      <w:r>
        <w:rPr>
          <w:rFonts w:cs="Arial"/>
        </w:rPr>
        <w:t>, dass durch die Intransparenz des Marktes hier eine transparente Preisfindung nur schwer möglich ist.</w:t>
      </w:r>
    </w:p>
    <w:p w:rsidR="00324B6B" w:rsidRDefault="00324B6B">
      <w:pPr>
        <w:rPr>
          <w:rFonts w:cs="Arial"/>
        </w:rPr>
      </w:pPr>
    </w:p>
    <w:p w:rsidR="009F3BA3" w:rsidRDefault="00324B6B">
      <w:pPr>
        <w:rPr>
          <w:rFonts w:cs="Arial"/>
          <w:i/>
        </w:rPr>
      </w:pPr>
      <w:r w:rsidRPr="00324B6B">
        <w:rPr>
          <w:rFonts w:cs="Arial"/>
          <w:i/>
        </w:rPr>
        <w:t>Anmerkung: Natürlich kann aufgrund Bonität und ähnlichem in Einzelfällen eine geringere Basisverzinsung auch ohne Erfolgsbeteiligung berechtigt sein, allerdings nicht im statistischen Mittel.</w:t>
      </w:r>
    </w:p>
    <w:p w:rsidR="004F123A" w:rsidRDefault="004F123A">
      <w:pPr>
        <w:rPr>
          <w:rFonts w:cs="Arial"/>
          <w:i/>
        </w:rPr>
      </w:pPr>
      <w:r>
        <w:rPr>
          <w:rFonts w:cs="Arial"/>
          <w:i/>
        </w:rPr>
        <w:br w:type="page"/>
      </w:r>
    </w:p>
    <w:p w:rsidR="009F3BA3" w:rsidRDefault="009F3BA3">
      <w:pPr>
        <w:rPr>
          <w:rFonts w:cs="Arial"/>
          <w:i/>
        </w:rPr>
      </w:pPr>
    </w:p>
    <w:p w:rsidR="00B77600" w:rsidRDefault="00B77600" w:rsidP="002A4E70">
      <w:pPr>
        <w:pStyle w:val="berschrift1"/>
      </w:pPr>
      <w:bookmarkStart w:id="27" w:name="_Toc513756860"/>
      <w:r>
        <w:t>Mittelverwendung</w:t>
      </w:r>
      <w:bookmarkEnd w:id="27"/>
    </w:p>
    <w:p w:rsidR="00B77600" w:rsidRDefault="00B77600" w:rsidP="00B77600">
      <w:r>
        <w:t>Eine wichtige Information für den Anleger ist wohl, wozu sein Geld verwendet werden soll. In den Formblättern finden sich allerdings auch sehr viele weit offene Mittelverwendungen. Eine Beurteilung, ob dies jetzt eine Finanzierung einer Investition in eine Produktionserweiterung oder zur Finanzierung von Aufwendungen ist, kann oft nicht mit Sicherheit getroffen werden.</w:t>
      </w:r>
    </w:p>
    <w:p w:rsidR="00B77600" w:rsidRDefault="00B77600" w:rsidP="00B77600"/>
    <w:p w:rsidR="00B77600" w:rsidRDefault="00BC6B3E" w:rsidP="00B77600">
      <w:r>
        <w:t>Im Sinne der Zurv</w:t>
      </w:r>
      <w:r w:rsidR="00B77600">
        <w:t>erfügungstellung des Kapitals durch den Konsumenten sollte hier auf eine engere Anga</w:t>
      </w:r>
      <w:r>
        <w:t>be des Verwendungszwecks gedräng</w:t>
      </w:r>
      <w:r w:rsidR="00B77600">
        <w:t>t werden.</w:t>
      </w:r>
    </w:p>
    <w:p w:rsidR="00E01EE8" w:rsidRDefault="00E01EE8" w:rsidP="00B77600"/>
    <w:p w:rsidR="00E01EE8" w:rsidRDefault="00E01EE8" w:rsidP="00B77600">
      <w:r>
        <w:t>Beispielhaft sind diese Angaben aus einem Formblatt:</w:t>
      </w:r>
    </w:p>
    <w:p w:rsidR="00E01EE8" w:rsidRDefault="00E01EE8" w:rsidP="00B77600"/>
    <w:p w:rsidR="00E01EE8" w:rsidRDefault="00E01EE8" w:rsidP="00B77600">
      <w:r>
        <w:rPr>
          <w:noProof/>
          <w:lang w:val="de-AT" w:eastAsia="de-AT"/>
        </w:rPr>
        <w:drawing>
          <wp:inline distT="0" distB="0" distL="0" distR="0" wp14:anchorId="373FA43B" wp14:editId="127802FC">
            <wp:extent cx="5759450" cy="1609780"/>
            <wp:effectExtent l="0" t="0" r="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1609780"/>
                    </a:xfrm>
                    <a:prstGeom prst="rect">
                      <a:avLst/>
                    </a:prstGeom>
                  </pic:spPr>
                </pic:pic>
              </a:graphicData>
            </a:graphic>
          </wp:inline>
        </w:drawing>
      </w:r>
    </w:p>
    <w:p w:rsidR="00E01EE8" w:rsidRDefault="00E01EE8" w:rsidP="00B77600">
      <w:r>
        <w:t>In diesem Fall ist die Verwendung der Finanzierung deutlich eingegrenzt.</w:t>
      </w:r>
    </w:p>
    <w:p w:rsidR="00E01EE8" w:rsidRDefault="00E01EE8" w:rsidP="00B77600"/>
    <w:p w:rsidR="00E01EE8" w:rsidRDefault="00E01EE8" w:rsidP="00B77600">
      <w:r>
        <w:t>Demgegenüber stehen Formulierungen wie:</w:t>
      </w:r>
    </w:p>
    <w:p w:rsidR="00E01EE8" w:rsidRDefault="00E01EE8" w:rsidP="00B77600">
      <w:r>
        <w:rPr>
          <w:noProof/>
          <w:lang w:val="de-AT" w:eastAsia="de-AT"/>
        </w:rPr>
        <w:drawing>
          <wp:inline distT="0" distB="0" distL="0" distR="0" wp14:anchorId="2457FEAC" wp14:editId="34D2E416">
            <wp:extent cx="5759450" cy="1139521"/>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59450" cy="1139521"/>
                    </a:xfrm>
                    <a:prstGeom prst="rect">
                      <a:avLst/>
                    </a:prstGeom>
                  </pic:spPr>
                </pic:pic>
              </a:graphicData>
            </a:graphic>
          </wp:inline>
        </w:drawing>
      </w:r>
    </w:p>
    <w:p w:rsidR="00E01EE8" w:rsidRDefault="00E01EE8" w:rsidP="00B77600"/>
    <w:p w:rsidR="00E01EE8" w:rsidRDefault="00E01EE8" w:rsidP="00B77600">
      <w:r>
        <w:t>Die Freistellung der Verwendung der Finanzierung für operative Tätigkeiten einschließlich ordentlicher und außerordentlicher Aufwendungen lässt keine Rückschlüsse zu, was mit den aufgenommenen Mitteln tatsächlich geschieht.</w:t>
      </w:r>
    </w:p>
    <w:p w:rsidR="00E01EE8" w:rsidRDefault="00E01EE8" w:rsidP="00B77600"/>
    <w:p w:rsidR="00E01EE8" w:rsidRDefault="00E01EE8" w:rsidP="00B77600">
      <w:r>
        <w:t xml:space="preserve">Bei den bisherigen </w:t>
      </w:r>
      <w:proofErr w:type="spellStart"/>
      <w:r>
        <w:t>Einmeldungen</w:t>
      </w:r>
      <w:proofErr w:type="spellEnd"/>
      <w:r>
        <w:t xml:space="preserve"> wiesen 90 Projekte eine genaue oder zumindest eine eingeengte Verwendungszweckerklärung auf. Bei 107 </w:t>
      </w:r>
      <w:proofErr w:type="spellStart"/>
      <w:r>
        <w:t>Einmeldungen</w:t>
      </w:r>
      <w:proofErr w:type="spellEnd"/>
      <w:r>
        <w:t xml:space="preserve"> wurde eine offene Formulierung verwendet.</w:t>
      </w:r>
    </w:p>
    <w:p w:rsidR="00E01EE8" w:rsidRDefault="00643E8B" w:rsidP="00B77600">
      <w:r>
        <w:t xml:space="preserve">Berücksichtigt man, dass 44 der engen Verwendungszweckerklärung Immobilienentwicklungsprojekte waren, sind 65,6% der </w:t>
      </w:r>
      <w:r w:rsidR="00BC6B3E">
        <w:t xml:space="preserve">übrigen </w:t>
      </w:r>
      <w:r>
        <w:t>Projekte mit offener Mittelverwendung begeben.</w:t>
      </w:r>
    </w:p>
    <w:p w:rsidR="00643E8B" w:rsidRDefault="00643E8B">
      <w:r>
        <w:br w:type="page"/>
      </w:r>
    </w:p>
    <w:p w:rsidR="00643E8B" w:rsidRPr="00B77600" w:rsidRDefault="00643E8B" w:rsidP="00B77600"/>
    <w:p w:rsidR="002A4E70" w:rsidRDefault="002A4E70" w:rsidP="002A4E70">
      <w:pPr>
        <w:pStyle w:val="berschrift1"/>
      </w:pPr>
      <w:bookmarkStart w:id="28" w:name="_Toc513756861"/>
      <w:r>
        <w:t>Bilanzielle Angaben</w:t>
      </w:r>
      <w:bookmarkEnd w:id="28"/>
    </w:p>
    <w:p w:rsidR="00784B82" w:rsidRPr="00784B82" w:rsidRDefault="00784B82" w:rsidP="00C13932">
      <w:pPr>
        <w:pStyle w:val="berschrift2"/>
      </w:pPr>
      <w:bookmarkStart w:id="29" w:name="_Toc513756862"/>
      <w:r>
        <w:t>Bilanzergebnis</w:t>
      </w:r>
      <w:bookmarkEnd w:id="29"/>
    </w:p>
    <w:p w:rsidR="002A4E70" w:rsidRDefault="002A4E70" w:rsidP="002A4E70"/>
    <w:p w:rsidR="002A4E70" w:rsidRDefault="002A4E70" w:rsidP="002A4E70">
      <w:r>
        <w:t>Bei 145 Projekten konnten bilanzielle oder Daten aus dem Informationsblatt zur bisherigen Ergebnisentwicklung entnommen werden.</w:t>
      </w:r>
    </w:p>
    <w:p w:rsidR="002A4E70" w:rsidRDefault="002A4E70" w:rsidP="002A4E70"/>
    <w:p w:rsidR="00676D06" w:rsidRDefault="002A4E70" w:rsidP="002A4E70">
      <w:r>
        <w:t xml:space="preserve">90 dieser Emittenten wiesen dabei einen aufgelaufenen Bilanzverlust auf. </w:t>
      </w:r>
      <w:r w:rsidR="0069449C">
        <w:t>Unter diesen 90 befanden sich 37 Startups, wo dies eher zu erwarten ist. 20 weitere können dem Immobilienbereich zugeordnet werden. Insbesondere bei Projektfinanzierungen laufen zu Anfang Aufwendungen auf, die erst später durch die Verkäufe gedeckt werden können.</w:t>
      </w:r>
    </w:p>
    <w:p w:rsidR="00676D06" w:rsidRDefault="00676D06" w:rsidP="002A4E70"/>
    <w:p w:rsidR="0095319E" w:rsidRDefault="00676D06" w:rsidP="002A4E70">
      <w:r>
        <w:t>Allerdings weisen auch 43 der als KMU eingestuften Projekte aufgelaufene Bilanzverluste auf.</w:t>
      </w:r>
    </w:p>
    <w:p w:rsidR="0095319E" w:rsidRDefault="0095319E" w:rsidP="002A4E70"/>
    <w:p w:rsidR="0095319E" w:rsidRDefault="0095319E" w:rsidP="002A4E70">
      <w:r>
        <w:t xml:space="preserve">Bei den Jahresergebnissen, entnommen aus der GuV (46 Projekte) weisen 47,8% ein negatives Ergebnis aus. </w:t>
      </w:r>
    </w:p>
    <w:p w:rsidR="0095319E" w:rsidRDefault="0095319E" w:rsidP="002A4E70">
      <w:r>
        <w:t>Startups, die aufgrund der Situation meist noch keine GuV vorlegen, verschärfen diese Situation noch erheblich.</w:t>
      </w:r>
    </w:p>
    <w:p w:rsidR="0095319E" w:rsidRDefault="0095319E" w:rsidP="002A4E70"/>
    <w:p w:rsidR="002676CE" w:rsidRDefault="002676CE" w:rsidP="002A4E70">
      <w:r>
        <w:t>Insgesamt sind überdurchschnittlich viele Projekte von Unternehmen, deren Ergebnissituation keine Eigenfinanzierung von Investitionen ermöglicht. Dies sollte zu einer entsprechenden Chancen/Risiko-Bewertung führen, welche (s. Verzinsung) nicht nachvollzogen werden kann.</w:t>
      </w:r>
    </w:p>
    <w:p w:rsidR="002676CE" w:rsidRDefault="002676CE" w:rsidP="002A4E70"/>
    <w:p w:rsidR="006A0EE5" w:rsidRDefault="002676CE" w:rsidP="002A4E70">
      <w:r>
        <w:t xml:space="preserve">Im Informationsblatt ist zwar </w:t>
      </w:r>
      <w:r w:rsidR="006A0EE5">
        <w:t>oftmals das kumulierte Bilanzergebnis angegeben, in wenigen Fällen wird auch das letzte Jahresergebnis mit angegeben. Diese Angaben sollten im Infoblatt noch genauer definiert werden, um eine Vergleichbarkeit zu erzielen.</w:t>
      </w:r>
    </w:p>
    <w:p w:rsidR="00784B82" w:rsidRDefault="00784B82" w:rsidP="002A4E70"/>
    <w:p w:rsidR="00784B82" w:rsidRDefault="00784B82" w:rsidP="00C13932">
      <w:pPr>
        <w:pStyle w:val="berschrift2"/>
      </w:pPr>
      <w:bookmarkStart w:id="30" w:name="_Toc513756863"/>
      <w:r>
        <w:t>Kapitalausstattung</w:t>
      </w:r>
      <w:bookmarkEnd w:id="30"/>
    </w:p>
    <w:p w:rsidR="00784B82" w:rsidRDefault="00784B82" w:rsidP="00784B82"/>
    <w:p w:rsidR="00784B82" w:rsidRDefault="00784B82" w:rsidP="00784B82">
      <w:r>
        <w:t>4 Projekte weisen negatives Eigenkapital auf</w:t>
      </w:r>
    </w:p>
    <w:p w:rsidR="00784B82" w:rsidRDefault="00784B82" w:rsidP="00784B82"/>
    <w:p w:rsidR="00695F6D" w:rsidRDefault="00784B82" w:rsidP="00784B82">
      <w:r>
        <w:t>20 Projekte sind Neugründungen ohne bisherigen Geschäftsbetrieb, deren Kapitalbasis somit auf das einbezahlte Gesellschaftskapital beschränkt ist.</w:t>
      </w:r>
    </w:p>
    <w:p w:rsidR="00695F6D" w:rsidRDefault="00695F6D" w:rsidP="00784B82"/>
    <w:p w:rsidR="00695F6D" w:rsidRDefault="00695F6D" w:rsidP="00784B82">
      <w:r>
        <w:t>Im Mittel liegt die Fremdkapitalquote bei den Projekten bei 69% (Basis 153 Projekte) – 88 Projekte weisen eine Fremdkapitalquote von über 75 % auf.</w:t>
      </w:r>
    </w:p>
    <w:p w:rsidR="00695F6D" w:rsidRDefault="00695F6D" w:rsidP="00784B82"/>
    <w:p w:rsidR="00695F6D" w:rsidRDefault="00695F6D" w:rsidP="00784B82">
      <w:r>
        <w:t>Dies wird auch bei Betrachtung ausschließlich der KMU-Projekte bestätigt. Dort kann eine mittlere FK-Quote von 68% (Basis 59 Projekte) festgestellt werden.</w:t>
      </w:r>
    </w:p>
    <w:p w:rsidR="00695F6D" w:rsidRDefault="00695F6D" w:rsidP="00784B82"/>
    <w:p w:rsidR="00695F6D" w:rsidRDefault="00695F6D" w:rsidP="00784B82">
      <w:r>
        <w:t>Der Mittelwert der Kapitalausstattung liegt damit genau auf der lt. Wirtschaftskammer Österreich durchschnittlichen Kapitalbasis.</w:t>
      </w:r>
    </w:p>
    <w:p w:rsidR="00695F6D" w:rsidRDefault="00695F6D" w:rsidP="00784B82"/>
    <w:p w:rsidR="00695F6D" w:rsidRDefault="00695F6D" w:rsidP="00784B82">
      <w:r>
        <w:rPr>
          <w:noProof/>
          <w:lang w:val="de-AT" w:eastAsia="de-AT"/>
        </w:rPr>
        <w:lastRenderedPageBreak/>
        <w:drawing>
          <wp:inline distT="0" distB="0" distL="0" distR="0" wp14:anchorId="12E07941" wp14:editId="1943B586">
            <wp:extent cx="5267325" cy="21431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67325" cy="2143125"/>
                    </a:xfrm>
                    <a:prstGeom prst="rect">
                      <a:avLst/>
                    </a:prstGeom>
                  </pic:spPr>
                </pic:pic>
              </a:graphicData>
            </a:graphic>
          </wp:inline>
        </w:drawing>
      </w:r>
    </w:p>
    <w:p w:rsidR="00907DEB" w:rsidRDefault="00695F6D" w:rsidP="00784B82">
      <w:pPr>
        <w:rPr>
          <w:sz w:val="16"/>
        </w:rPr>
      </w:pPr>
      <w:r w:rsidRPr="00695F6D">
        <w:rPr>
          <w:sz w:val="16"/>
        </w:rPr>
        <w:t xml:space="preserve">Quelle: </w:t>
      </w:r>
      <w:hyperlink r:id="rId26" w:history="1">
        <w:r w:rsidRPr="00695F6D">
          <w:rPr>
            <w:rStyle w:val="Hyperlink"/>
            <w:sz w:val="16"/>
          </w:rPr>
          <w:t>https://news.wko.at/news/oesterreich/wirtschaftskraft-kmu2018.pdf</w:t>
        </w:r>
      </w:hyperlink>
      <w:r w:rsidRPr="00695F6D">
        <w:rPr>
          <w:sz w:val="16"/>
        </w:rPr>
        <w:t xml:space="preserve"> </w:t>
      </w:r>
    </w:p>
    <w:p w:rsidR="00907DEB" w:rsidRDefault="00907DEB" w:rsidP="00784B82">
      <w:pPr>
        <w:rPr>
          <w:sz w:val="16"/>
        </w:rPr>
      </w:pPr>
    </w:p>
    <w:p w:rsidR="00907DEB" w:rsidRDefault="00907DEB" w:rsidP="00907DEB">
      <w:r>
        <w:t xml:space="preserve">Problematisch ist auch hier die Transparenz für den Konsumenten. Die Ermittlung der Kapitalausstattungen und der Jahresergebnisse ist nicht immer eindeutig aus dem Infoblatt zu ersehen. </w:t>
      </w:r>
    </w:p>
    <w:p w:rsidR="00907DEB" w:rsidRDefault="00907DEB" w:rsidP="00907DEB"/>
    <w:p w:rsidR="00907DEB" w:rsidRDefault="00907DEB" w:rsidP="00907DEB">
      <w:r>
        <w:t>Erschwerend kommt hinzu, dass im Infoblatt aktuelle Werte angegeben werden, wohingegen in den als Beilagen beigefügten Jahresabschlüssen die Daten zum jeweiligen Stichtag angegeben sind.</w:t>
      </w:r>
    </w:p>
    <w:p w:rsidR="00C13932" w:rsidRDefault="00907DEB" w:rsidP="00907DEB">
      <w:r>
        <w:t>Dies bietet einerseits den Vorteil das laufende Jahr betrachten zu können, andererseits ist es für die Anleger schwierig bis verwirrend verschiedene Zahlen präsentiert zu bekommen.</w:t>
      </w:r>
    </w:p>
    <w:p w:rsidR="00C13932" w:rsidRDefault="00C13932" w:rsidP="00907DEB"/>
    <w:p w:rsidR="00D17DB7" w:rsidRDefault="00D17DB7"/>
    <w:p w:rsidR="00D17DB7" w:rsidRDefault="00D17DB7" w:rsidP="00D17DB7">
      <w:pPr>
        <w:pStyle w:val="berschrift2"/>
      </w:pPr>
      <w:bookmarkStart w:id="31" w:name="_Toc513756864"/>
      <w:r>
        <w:t>Vermögensgegenstände</w:t>
      </w:r>
      <w:bookmarkEnd w:id="31"/>
    </w:p>
    <w:p w:rsidR="00D17DB7" w:rsidRDefault="00D17DB7" w:rsidP="00D17DB7">
      <w:r>
        <w:t>Als Sicherheit können auch Vermögensgegenstände der Unternehmen im Verhältnis zum Fremdkapital angesehen werden. Sach- oder Finanzanlagen sind zumindest eine Möglichkeit bei einem Fehlschlag der Unternehmung noch Vermögen vorzufinden.</w:t>
      </w:r>
    </w:p>
    <w:p w:rsidR="00D17DB7" w:rsidRDefault="00D17DB7" w:rsidP="00D17DB7"/>
    <w:p w:rsidR="00D17DB7" w:rsidRDefault="00D17DB7" w:rsidP="00D17DB7">
      <w:r>
        <w:t>Für den Konsumenten sind dabei aufgrund der Ausgestaltung der Nachrangdarlehen über das Fremdkapital hinausgehende Vermögensgegenstände interessant.</w:t>
      </w:r>
    </w:p>
    <w:p w:rsidR="00D17DB7" w:rsidRDefault="00D17DB7" w:rsidP="00D17DB7"/>
    <w:p w:rsidR="00D17DB7" w:rsidRDefault="00D17DB7" w:rsidP="00D17DB7">
      <w:r>
        <w:t>Bei 99 Projekten lagen entsprechende Jahresabschlussunterlagen bei.</w:t>
      </w:r>
    </w:p>
    <w:p w:rsidR="00D17DB7" w:rsidRDefault="00D17DB7" w:rsidP="00D17DB7">
      <w:r>
        <w:t>Um eine vereinfachte Kennzahl zu ermitteln wurden Sach- und Finanzanlagen sowie Vorräte aus der Bilanz angesetzt. Diesen wurden ins Verhältnis zu Verbindlichkeiten an Kreditinstitute, Lieferungen und sonstige Verbindlichkeiten, auch an verbundene Unternehmen gesetzt.</w:t>
      </w:r>
    </w:p>
    <w:p w:rsidR="00D17DB7" w:rsidRDefault="00D17DB7" w:rsidP="00D17DB7"/>
    <w:p w:rsidR="00D17DB7" w:rsidRDefault="00D17DB7" w:rsidP="00D17DB7">
      <w:r>
        <w:t xml:space="preserve">24 Unternehmen wiesen dabei einen höheren Wert an Vermögenswerten aus, als Fremdkapital. Der Mittelwert dieser Kennzahl lag bei 84,8%. </w:t>
      </w:r>
    </w:p>
    <w:p w:rsidR="00D17DB7" w:rsidRDefault="00D17DB7" w:rsidP="00D17DB7"/>
    <w:p w:rsidR="00C13932" w:rsidRDefault="00D17DB7" w:rsidP="00D17DB7">
      <w:r>
        <w:t>Diese Kennzahl eignet sich allerdings kaum für die Bewertung von Startups. Die Anwendung ist nur bei KMU sinnvoll.</w:t>
      </w:r>
      <w:r w:rsidR="00C13932">
        <w:br w:type="page"/>
      </w:r>
    </w:p>
    <w:p w:rsidR="00C13932" w:rsidRDefault="00C13932" w:rsidP="00C13932">
      <w:pPr>
        <w:pStyle w:val="berschrift1"/>
      </w:pPr>
      <w:bookmarkStart w:id="32" w:name="_Toc513756865"/>
      <w:r>
        <w:lastRenderedPageBreak/>
        <w:t>Prognosen</w:t>
      </w:r>
      <w:bookmarkEnd w:id="32"/>
    </w:p>
    <w:p w:rsidR="00C13932" w:rsidRDefault="00C13932" w:rsidP="00C13932">
      <w:r>
        <w:t>Viele der Projekte haben Prognoseunterlagen zu der erwarteten Geschäftsentwicklung beigefügt. Dies ist grundsätzlich als positiv zu bewerten. Die Prognoseunterlagen sind allerdings oft in einem eher werbeähnlichen Skript beinhaltet, die dem Anleger eine Anlage schmackhaft machen sollen.</w:t>
      </w:r>
    </w:p>
    <w:p w:rsidR="00C13932" w:rsidRDefault="00C13932" w:rsidP="00C13932"/>
    <w:p w:rsidR="00403687" w:rsidRDefault="00403687" w:rsidP="00C13932">
      <w:r>
        <w:t>Allerdings erfolgen dabei nicht immer eine Aufbereitung der Prognosedaten, die es dem Verbraucher erlauben daraus für sich Erkenntnisse abzuleiten.</w:t>
      </w:r>
    </w:p>
    <w:p w:rsidR="00403687" w:rsidRDefault="00403687" w:rsidP="00C13932"/>
    <w:p w:rsidR="00403687" w:rsidRDefault="00403687" w:rsidP="00C13932">
      <w:r>
        <w:t xml:space="preserve">Dies beispielhaft verdeutlicht an dem Projekt Storck </w:t>
      </w:r>
      <w:proofErr w:type="spellStart"/>
      <w:r>
        <w:t>Bycicle</w:t>
      </w:r>
      <w:proofErr w:type="spellEnd"/>
      <w:r>
        <w:t xml:space="preserve"> GmbH.</w:t>
      </w:r>
    </w:p>
    <w:p w:rsidR="00403687" w:rsidRDefault="00403687" w:rsidP="00C13932"/>
    <w:p w:rsidR="00403687" w:rsidRDefault="00403687" w:rsidP="00C13932">
      <w:r>
        <w:t xml:space="preserve">Folgende Prognose/Geschäftsplan </w:t>
      </w:r>
      <w:proofErr w:type="gramStart"/>
      <w:r>
        <w:t>findet</w:t>
      </w:r>
      <w:proofErr w:type="gramEnd"/>
      <w:r>
        <w:t xml:space="preserve"> sich in den Unterlagen:</w:t>
      </w:r>
    </w:p>
    <w:p w:rsidR="00403687" w:rsidRDefault="00403687" w:rsidP="00C13932">
      <w:r>
        <w:rPr>
          <w:noProof/>
          <w:lang w:val="de-AT" w:eastAsia="de-AT"/>
        </w:rPr>
        <w:drawing>
          <wp:inline distT="0" distB="0" distL="0" distR="0" wp14:anchorId="4ED0C440" wp14:editId="5756E23C">
            <wp:extent cx="5759450" cy="3180985"/>
            <wp:effectExtent l="0" t="0" r="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59450" cy="3180985"/>
                    </a:xfrm>
                    <a:prstGeom prst="rect">
                      <a:avLst/>
                    </a:prstGeom>
                  </pic:spPr>
                </pic:pic>
              </a:graphicData>
            </a:graphic>
          </wp:inline>
        </w:drawing>
      </w:r>
    </w:p>
    <w:p w:rsidR="00403687" w:rsidRDefault="00403687" w:rsidP="00C13932"/>
    <w:p w:rsidR="00EC2BC4" w:rsidRDefault="00403687" w:rsidP="00C13932">
      <w:r>
        <w:t xml:space="preserve">Das Projekt ist in einem Bieterverfahren platziert. Zusätzlich zur in der Höhe nicht bekannten Basisverzinsung bietet das Projekt eine Erfolgsbeteiligung in Höhe </w:t>
      </w:r>
      <w:r w:rsidR="00EC2BC4">
        <w:t>von 2%-Punkten bei einer EBITA-Marge &gt;20%.</w:t>
      </w:r>
    </w:p>
    <w:p w:rsidR="00EC2BC4" w:rsidRDefault="00EC2BC4" w:rsidP="00C13932"/>
    <w:p w:rsidR="00EC2BC4" w:rsidRDefault="00EC2BC4" w:rsidP="00C13932">
      <w:r>
        <w:t>Darauf gehen die Prognosedaten leider überhaupt nicht ein. Für den Verbraucher wäre aber eine Darstellung in Bezug auf seine Anlage relevante Daten notwendig.</w:t>
      </w:r>
    </w:p>
    <w:p w:rsidR="00EC2BC4" w:rsidRDefault="00EC2BC4" w:rsidP="00C13932"/>
    <w:p w:rsidR="00C506E9" w:rsidRPr="00324B6B" w:rsidRDefault="00EC2BC4" w:rsidP="00C13932">
      <w:r>
        <w:t>Dies betrifft auch z.B. noch zu berechnende Kennzahlen wie „</w:t>
      </w:r>
      <w:proofErr w:type="spellStart"/>
      <w:r>
        <w:rPr>
          <w:rFonts w:cs="Arial"/>
        </w:rPr>
        <w:t>NetDebt</w:t>
      </w:r>
      <w:proofErr w:type="spellEnd"/>
      <w:r>
        <w:rPr>
          <w:rFonts w:cs="Arial"/>
        </w:rPr>
        <w:t xml:space="preserve"> (</w:t>
      </w:r>
      <w:proofErr w:type="spellStart"/>
      <w:r>
        <w:rPr>
          <w:rFonts w:cs="Arial"/>
        </w:rPr>
        <w:t>Nettoverschultung</w:t>
      </w:r>
      <w:proofErr w:type="spellEnd"/>
      <w:r>
        <w:rPr>
          <w:rFonts w:cs="Arial"/>
        </w:rPr>
        <w:t>) zu EBITDA</w:t>
      </w:r>
      <w:r>
        <w:t>“.</w:t>
      </w:r>
      <w:r w:rsidR="00C506E9" w:rsidRPr="00324B6B">
        <w:br w:type="page"/>
      </w:r>
    </w:p>
    <w:p w:rsidR="00ED6F17" w:rsidRDefault="000A20BE" w:rsidP="000A20BE">
      <w:pPr>
        <w:pStyle w:val="berschrift2"/>
      </w:pPr>
      <w:bookmarkStart w:id="33" w:name="_Toc513756866"/>
      <w:r>
        <w:lastRenderedPageBreak/>
        <w:t>Startups</w:t>
      </w:r>
      <w:bookmarkEnd w:id="33"/>
    </w:p>
    <w:p w:rsidR="000A20BE" w:rsidRPr="00674790" w:rsidRDefault="000A20BE" w:rsidP="000A20BE">
      <w:pPr>
        <w:rPr>
          <w:rFonts w:cs="Arial"/>
        </w:rPr>
      </w:pPr>
      <w:r w:rsidRPr="00674790">
        <w:rPr>
          <w:rFonts w:cs="Arial"/>
        </w:rPr>
        <w:t xml:space="preserve">Crowdfunding wird sehr oft mit Startups, also Geschäftsgründungen, in Verbindung gebracht. Zwar zeigen die bisherigen Projekte, dass auch viele etablierte Firmen eine </w:t>
      </w:r>
      <w:proofErr w:type="spellStart"/>
      <w:r w:rsidRPr="00674790">
        <w:rPr>
          <w:rFonts w:cs="Arial"/>
        </w:rPr>
        <w:t>Crowdfinanzierung</w:t>
      </w:r>
      <w:proofErr w:type="spellEnd"/>
      <w:r w:rsidRPr="00674790">
        <w:rPr>
          <w:rFonts w:cs="Arial"/>
        </w:rPr>
        <w:t xml:space="preserve"> in Betracht ziehen.</w:t>
      </w:r>
    </w:p>
    <w:p w:rsidR="000A20BE" w:rsidRPr="00674790" w:rsidRDefault="000A20BE" w:rsidP="000A20BE">
      <w:pPr>
        <w:rPr>
          <w:rFonts w:cs="Arial"/>
        </w:rPr>
      </w:pPr>
    </w:p>
    <w:p w:rsidR="000A20BE" w:rsidRPr="00674790" w:rsidRDefault="000A20BE" w:rsidP="000A20BE">
      <w:pPr>
        <w:rPr>
          <w:rFonts w:cs="Arial"/>
        </w:rPr>
      </w:pPr>
      <w:r w:rsidRPr="00674790">
        <w:rPr>
          <w:rFonts w:cs="Arial"/>
        </w:rPr>
        <w:t>Trotzdem ist ein Blick auf die Gründungsszene angebracht, um eine grobe Einschätzung des Risikos zu ermöglichen.</w:t>
      </w:r>
    </w:p>
    <w:p w:rsidR="000A20BE" w:rsidRPr="00674790" w:rsidRDefault="000A20BE" w:rsidP="000A20BE">
      <w:pPr>
        <w:rPr>
          <w:rFonts w:cs="Arial"/>
        </w:rPr>
      </w:pPr>
    </w:p>
    <w:p w:rsidR="000A20BE" w:rsidRPr="00674790" w:rsidRDefault="000A20BE" w:rsidP="000A20BE">
      <w:pPr>
        <w:rPr>
          <w:rFonts w:cs="Arial"/>
        </w:rPr>
      </w:pPr>
      <w:r w:rsidRPr="00674790">
        <w:rPr>
          <w:rFonts w:cs="Arial"/>
        </w:rPr>
        <w:t>Für die Überlebensfähigkeit von Startups gibt es leider sehr unterschiedliche Aussagen und Statistiken.</w:t>
      </w:r>
    </w:p>
    <w:p w:rsidR="000A20BE" w:rsidRPr="00674790" w:rsidRDefault="000A20BE" w:rsidP="000A20BE">
      <w:pPr>
        <w:rPr>
          <w:rFonts w:cs="Arial"/>
        </w:rPr>
      </w:pPr>
    </w:p>
    <w:p w:rsidR="000A20BE" w:rsidRPr="00674790" w:rsidRDefault="000A20BE" w:rsidP="000A20BE">
      <w:pPr>
        <w:rPr>
          <w:rFonts w:cs="Arial"/>
        </w:rPr>
      </w:pPr>
      <w:r w:rsidRPr="00674790">
        <w:rPr>
          <w:rFonts w:cs="Arial"/>
        </w:rPr>
        <w:t>Laut WKO-</w:t>
      </w:r>
      <w:proofErr w:type="spellStart"/>
      <w:r w:rsidRPr="00674790">
        <w:rPr>
          <w:rFonts w:cs="Arial"/>
        </w:rPr>
        <w:t>Factsheet</w:t>
      </w:r>
      <w:proofErr w:type="spellEnd"/>
      <w:r w:rsidRPr="00674790">
        <w:rPr>
          <w:rFonts w:cs="Arial"/>
        </w:rPr>
        <w:t xml:space="preserve"> Gründerszene 2017 sind 7 von 10 Gründern nach 5 Jahren immer noch aktiv. Andersherum betrachtet bedeutet </w:t>
      </w:r>
      <w:proofErr w:type="gramStart"/>
      <w:r w:rsidRPr="00674790">
        <w:rPr>
          <w:rFonts w:cs="Arial"/>
        </w:rPr>
        <w:t>das</w:t>
      </w:r>
      <w:proofErr w:type="gramEnd"/>
      <w:r w:rsidRPr="00674790">
        <w:rPr>
          <w:rFonts w:cs="Arial"/>
        </w:rPr>
        <w:t xml:space="preserve"> aber auch das 30% wieder verschwunden sind. Für ein Nachrangdarlehn im Rahmen eines Crowdfundings würde das wohl einen Totalverlust bedeuten, zumindest bei den Gründern die nicht Werte durch das eingesammelte Kapital geschaffen haben. </w:t>
      </w:r>
      <w:r w:rsidRPr="00674790">
        <w:rPr>
          <w:rFonts w:cs="Arial"/>
          <w:sz w:val="20"/>
        </w:rPr>
        <w:t xml:space="preserve">(Quelle: </w:t>
      </w:r>
      <w:hyperlink r:id="rId28" w:history="1">
        <w:r w:rsidRPr="00674790">
          <w:rPr>
            <w:rStyle w:val="Hyperlink"/>
            <w:rFonts w:cs="Arial"/>
            <w:sz w:val="20"/>
          </w:rPr>
          <w:t>https://www.gruenderservice.at/site/gruenderservice/aktuelles/GS_Fact-Sheet_2017_einzelseiten_lowres.pdf</w:t>
        </w:r>
      </w:hyperlink>
      <w:r w:rsidRPr="00674790">
        <w:rPr>
          <w:rFonts w:cs="Arial"/>
          <w:sz w:val="20"/>
        </w:rPr>
        <w:t xml:space="preserve"> )</w:t>
      </w:r>
    </w:p>
    <w:p w:rsidR="000A20BE" w:rsidRPr="00674790" w:rsidRDefault="000A20BE" w:rsidP="000A20BE">
      <w:pPr>
        <w:rPr>
          <w:rFonts w:cs="Arial"/>
        </w:rPr>
      </w:pPr>
    </w:p>
    <w:p w:rsidR="000A20BE" w:rsidRPr="00674790" w:rsidRDefault="000A20BE" w:rsidP="000A20BE">
      <w:pPr>
        <w:rPr>
          <w:rFonts w:cs="Arial"/>
        </w:rPr>
      </w:pPr>
      <w:r w:rsidRPr="00674790">
        <w:rPr>
          <w:rFonts w:cs="Arial"/>
          <w:noProof/>
          <w:lang w:val="de-AT" w:eastAsia="de-AT"/>
        </w:rPr>
        <w:drawing>
          <wp:inline distT="0" distB="0" distL="0" distR="0" wp14:anchorId="362DE1B0" wp14:editId="1937F535">
            <wp:extent cx="5759450" cy="2032279"/>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59450" cy="2032279"/>
                    </a:xfrm>
                    <a:prstGeom prst="rect">
                      <a:avLst/>
                    </a:prstGeom>
                  </pic:spPr>
                </pic:pic>
              </a:graphicData>
            </a:graphic>
          </wp:inline>
        </w:drawing>
      </w:r>
    </w:p>
    <w:p w:rsidR="000A20BE" w:rsidRPr="00674790" w:rsidRDefault="000A20BE" w:rsidP="000A20BE">
      <w:pPr>
        <w:rPr>
          <w:rFonts w:cs="Arial"/>
        </w:rPr>
      </w:pPr>
    </w:p>
    <w:p w:rsidR="000A20BE" w:rsidRPr="00674790" w:rsidRDefault="000A20BE" w:rsidP="000A20BE">
      <w:pPr>
        <w:rPr>
          <w:rFonts w:cs="Arial"/>
        </w:rPr>
      </w:pPr>
    </w:p>
    <w:p w:rsidR="000A20BE" w:rsidRPr="00674790" w:rsidRDefault="000A20BE" w:rsidP="000A20BE">
      <w:pPr>
        <w:rPr>
          <w:rFonts w:cs="Arial"/>
        </w:rPr>
      </w:pPr>
      <w:r w:rsidRPr="00674790">
        <w:rPr>
          <w:rFonts w:cs="Arial"/>
        </w:rPr>
        <w:br w:type="page"/>
      </w:r>
    </w:p>
    <w:p w:rsidR="000A20BE" w:rsidRPr="00674790" w:rsidRDefault="000A20BE" w:rsidP="000A20BE">
      <w:pPr>
        <w:rPr>
          <w:rFonts w:cs="Arial"/>
        </w:rPr>
      </w:pPr>
    </w:p>
    <w:p w:rsidR="000A20BE" w:rsidRPr="00674790" w:rsidRDefault="000A20BE" w:rsidP="000A20BE">
      <w:pPr>
        <w:rPr>
          <w:rFonts w:cs="Arial"/>
        </w:rPr>
      </w:pPr>
    </w:p>
    <w:p w:rsidR="000A20BE" w:rsidRPr="00674790" w:rsidRDefault="000A20BE" w:rsidP="000A20BE">
      <w:pPr>
        <w:rPr>
          <w:rFonts w:cs="Arial"/>
        </w:rPr>
      </w:pPr>
      <w:r w:rsidRPr="00674790">
        <w:rPr>
          <w:rFonts w:cs="Arial"/>
        </w:rPr>
        <w:t xml:space="preserve">Der KfW-Gründungsmonitor für Deutschland sieht ein ähnliches aber etwas schlechteres Bild. Dort sind bereits nach 3 Jahren 32% der Gründer nicht mehr aktiv. </w:t>
      </w:r>
    </w:p>
    <w:p w:rsidR="000A20BE" w:rsidRPr="00674790" w:rsidRDefault="000A20BE" w:rsidP="000A20BE">
      <w:pPr>
        <w:rPr>
          <w:rFonts w:cs="Arial"/>
        </w:rPr>
      </w:pPr>
      <w:r w:rsidRPr="00674790">
        <w:rPr>
          <w:rFonts w:cs="Arial"/>
        </w:rPr>
        <w:t>Interessanterweise ist eine deutliche Abhängigkeit des Kapitaleinsatzes des Gründers mit der Überlebensfähigkeit des Startups zu sehen.</w:t>
      </w:r>
    </w:p>
    <w:p w:rsidR="000A20BE" w:rsidRPr="00674790" w:rsidRDefault="000A20BE" w:rsidP="000A20BE">
      <w:pPr>
        <w:rPr>
          <w:rFonts w:cs="Arial"/>
        </w:rPr>
      </w:pPr>
    </w:p>
    <w:p w:rsidR="000A20BE" w:rsidRPr="00674790" w:rsidRDefault="000A20BE" w:rsidP="000A20BE">
      <w:pPr>
        <w:rPr>
          <w:rFonts w:cs="Arial"/>
        </w:rPr>
      </w:pPr>
      <w:r w:rsidRPr="00674790">
        <w:rPr>
          <w:rFonts w:cs="Arial"/>
          <w:noProof/>
          <w:lang w:val="de-AT" w:eastAsia="de-AT"/>
        </w:rPr>
        <w:drawing>
          <wp:inline distT="0" distB="0" distL="0" distR="0" wp14:anchorId="12C6A4AF" wp14:editId="69A88A6A">
            <wp:extent cx="3219450" cy="355282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19450" cy="3552825"/>
                    </a:xfrm>
                    <a:prstGeom prst="rect">
                      <a:avLst/>
                    </a:prstGeom>
                  </pic:spPr>
                </pic:pic>
              </a:graphicData>
            </a:graphic>
          </wp:inline>
        </w:drawing>
      </w:r>
    </w:p>
    <w:p w:rsidR="000A20BE" w:rsidRPr="00674790" w:rsidRDefault="000A20BE" w:rsidP="000A20BE">
      <w:pPr>
        <w:rPr>
          <w:rFonts w:cs="Arial"/>
        </w:rPr>
      </w:pPr>
    </w:p>
    <w:p w:rsidR="000A20BE" w:rsidRPr="00674790" w:rsidRDefault="000A20BE" w:rsidP="000A20BE">
      <w:pPr>
        <w:rPr>
          <w:rFonts w:cs="Arial"/>
        </w:rPr>
      </w:pPr>
      <w:r w:rsidRPr="00674790">
        <w:rPr>
          <w:rFonts w:cs="Arial"/>
        </w:rPr>
        <w:t>Während ohne Kapitaleinsatz 38% verschwunden sind, sind es bei Gründern mit mehr als 25.000 Euro nur 13%.</w:t>
      </w:r>
    </w:p>
    <w:p w:rsidR="000A20BE" w:rsidRDefault="000A20BE" w:rsidP="000A20BE">
      <w:pPr>
        <w:rPr>
          <w:rFonts w:cs="Arial"/>
        </w:rPr>
      </w:pPr>
      <w:r w:rsidRPr="00674790">
        <w:rPr>
          <w:rFonts w:cs="Arial"/>
        </w:rPr>
        <w:t>Es wird allerdings deutlich darauf hingewiesen, dass diese Abbruchquote nicht mit Ausfallquoten gleichgesetzt werden kann, da nur ein Bruchteil aufgrund Insolvenz aufgibt.</w:t>
      </w:r>
    </w:p>
    <w:p w:rsidR="00903D84" w:rsidRDefault="00903D84" w:rsidP="000A20BE">
      <w:pPr>
        <w:rPr>
          <w:rFonts w:cs="Arial"/>
        </w:rPr>
      </w:pPr>
    </w:p>
    <w:p w:rsidR="00903D84" w:rsidRPr="00674790" w:rsidRDefault="00903D84" w:rsidP="00903D84">
      <w:pPr>
        <w:rPr>
          <w:rFonts w:cs="Arial"/>
        </w:rPr>
      </w:pPr>
      <w:r w:rsidRPr="00674790">
        <w:rPr>
          <w:rFonts w:cs="Arial"/>
        </w:rPr>
        <w:t xml:space="preserve">Schlechtere Zahlen werden in einem Interview aus 2013 mit Alan Frei von der Jungunternehmerplattform der Uni Zürich für die Schweiz aufgelistet. Für alle Daten weist die Schweiz demnach 50% noch aktive Gründer nach 5 Jahren auf. Dies gilt über alle Branchen. Bei Startups in der Technologiebranche ging Frei von nur 20% Aktiven nach 5 Jahren aus. </w:t>
      </w:r>
      <w:r w:rsidRPr="00674790">
        <w:rPr>
          <w:rFonts w:cs="Arial"/>
          <w:sz w:val="20"/>
        </w:rPr>
        <w:t xml:space="preserve">(Quelle: </w:t>
      </w:r>
      <w:hyperlink r:id="rId31" w:history="1">
        <w:r w:rsidRPr="00674790">
          <w:rPr>
            <w:rStyle w:val="Hyperlink"/>
            <w:rFonts w:cs="Arial"/>
            <w:sz w:val="20"/>
          </w:rPr>
          <w:t>http://www.20min.ch/finance/news/story/Start-ups--Erfolg-ist-eher-die-Ausnahme-25519331</w:t>
        </w:r>
      </w:hyperlink>
      <w:r w:rsidRPr="00674790">
        <w:rPr>
          <w:rFonts w:cs="Arial"/>
          <w:sz w:val="20"/>
        </w:rPr>
        <w:t xml:space="preserve"> )</w:t>
      </w:r>
    </w:p>
    <w:p w:rsidR="00903D84" w:rsidRPr="00674790" w:rsidRDefault="00903D84" w:rsidP="00903D84">
      <w:pPr>
        <w:rPr>
          <w:rFonts w:cs="Arial"/>
        </w:rPr>
      </w:pPr>
    </w:p>
    <w:p w:rsidR="00903D84" w:rsidRPr="00674790" w:rsidRDefault="00903D84" w:rsidP="00903D84">
      <w:pPr>
        <w:rPr>
          <w:rFonts w:cs="Arial"/>
        </w:rPr>
      </w:pPr>
      <w:r w:rsidRPr="00674790">
        <w:rPr>
          <w:rFonts w:cs="Arial"/>
        </w:rPr>
        <w:t>Deutlich ist, dass hier die statistischen Daten keinen eindeutigen Schluss zulassen. Deutlich wird allerdings, dass mit einem nennenswerten Anteil an Abbrüchen zu rechnen ist.</w:t>
      </w:r>
    </w:p>
    <w:p w:rsidR="00903D84" w:rsidRPr="00674790" w:rsidRDefault="00903D84" w:rsidP="00903D84">
      <w:pPr>
        <w:rPr>
          <w:rFonts w:cs="Arial"/>
        </w:rPr>
      </w:pPr>
      <w:r w:rsidRPr="00674790">
        <w:rPr>
          <w:rFonts w:cs="Arial"/>
        </w:rPr>
        <w:t xml:space="preserve">Dies muss dem Anleger sehr bewusst sein, damit er seine Anlageentscheidung nicht aus falscher Euphorie für Startups heraus trifft. </w:t>
      </w:r>
    </w:p>
    <w:p w:rsidR="00903D84" w:rsidRPr="00674790" w:rsidRDefault="00903D84" w:rsidP="00903D84">
      <w:pPr>
        <w:rPr>
          <w:rFonts w:cs="Arial"/>
        </w:rPr>
      </w:pPr>
    </w:p>
    <w:p w:rsidR="00903D84" w:rsidRPr="00674790" w:rsidRDefault="00903D84" w:rsidP="00903D84">
      <w:pPr>
        <w:rPr>
          <w:rFonts w:cs="Arial"/>
        </w:rPr>
      </w:pPr>
      <w:r w:rsidRPr="00674790">
        <w:rPr>
          <w:rFonts w:cs="Arial"/>
        </w:rPr>
        <w:t>Denn die Gründe für ein Scheitern sind vielfältig.</w:t>
      </w:r>
    </w:p>
    <w:p w:rsidR="00903D84" w:rsidRPr="00674790" w:rsidRDefault="00903D84" w:rsidP="00903D84">
      <w:pPr>
        <w:rPr>
          <w:rFonts w:cs="Arial"/>
        </w:rPr>
      </w:pPr>
    </w:p>
    <w:p w:rsidR="00903D84" w:rsidRPr="00674790" w:rsidRDefault="00903D84" w:rsidP="00903D84">
      <w:pPr>
        <w:rPr>
          <w:rFonts w:cs="Arial"/>
        </w:rPr>
      </w:pPr>
      <w:r w:rsidRPr="00674790">
        <w:rPr>
          <w:rFonts w:cs="Arial"/>
        </w:rPr>
        <w:lastRenderedPageBreak/>
        <w:t>Erschwerend bei Gründungen kommt hinzu, dass Anlaufkosten oft per Crowdfunding finanziert werden. Anlaufkosten wie Vertriebs- und Marketingaktivitäten um die Marke bekannt zu machen bzw. ein Vertriebsnetz aufzubauen, Entwicklungskosten für ein Produkt oder eine Software und ähnliches. Diese Aktivitäten sind zwar sehr wichtig, sollte das Projekt jedoch scheitern sind keine Vermögensgegenstände vorhanden. Der Ausfall wird entsprechend hoch sein.</w:t>
      </w:r>
    </w:p>
    <w:p w:rsidR="00903D84" w:rsidRPr="000A20BE" w:rsidRDefault="00903D84" w:rsidP="00903D84"/>
    <w:p w:rsidR="00903D84" w:rsidRPr="00674790" w:rsidRDefault="00903D84" w:rsidP="000A20BE">
      <w:pPr>
        <w:rPr>
          <w:rFonts w:cs="Arial"/>
        </w:rPr>
      </w:pPr>
    </w:p>
    <w:p w:rsidR="000A20BE" w:rsidRDefault="000A20BE" w:rsidP="000A20BE">
      <w:pPr>
        <w:rPr>
          <w:rFonts w:cs="Arial"/>
        </w:rPr>
      </w:pPr>
    </w:p>
    <w:p w:rsidR="000A20BE" w:rsidRDefault="000A20BE" w:rsidP="000A20BE">
      <w:pPr>
        <w:rPr>
          <w:rFonts w:cs="Arial"/>
        </w:rPr>
      </w:pPr>
      <w:r>
        <w:rPr>
          <w:rFonts w:cs="Arial"/>
        </w:rPr>
        <w:t xml:space="preserve">Prognosezahlen für Startups sind daher eher konservativ zu bewerten. </w:t>
      </w:r>
    </w:p>
    <w:p w:rsidR="000A20BE" w:rsidRDefault="000A20BE" w:rsidP="000A20BE">
      <w:pPr>
        <w:rPr>
          <w:rFonts w:cs="Arial"/>
        </w:rPr>
      </w:pPr>
    </w:p>
    <w:p w:rsidR="000A20BE" w:rsidRDefault="000A20BE" w:rsidP="000A20BE">
      <w:pPr>
        <w:rPr>
          <w:rFonts w:cs="Arial"/>
        </w:rPr>
      </w:pPr>
      <w:r>
        <w:rPr>
          <w:rFonts w:cs="Arial"/>
        </w:rPr>
        <w:t>Eine Prognose oder schematisierte Bewertung ist herbei auch kaum möglich. Meist liegen weder belastbare Kennzahlen noch Erfahrungen der Geschäftsentwicklung vor. Dieser Bereich ist daher kaum objektiv und unabhängig bewertbar.</w:t>
      </w:r>
    </w:p>
    <w:p w:rsidR="000A20BE" w:rsidRDefault="000A20BE" w:rsidP="000A20BE">
      <w:pPr>
        <w:rPr>
          <w:rFonts w:cs="Arial"/>
        </w:rPr>
      </w:pPr>
      <w:r>
        <w:rPr>
          <w:rFonts w:cs="Arial"/>
        </w:rPr>
        <w:t>Ebenso fehlen meist Aktivvermögen. Auch ein Abgleich von Vermögensgegenständen in Bezug auf die aufzunehmenden Mittel ist nicht zielführend.</w:t>
      </w:r>
    </w:p>
    <w:p w:rsidR="000A20BE" w:rsidRDefault="000A20BE" w:rsidP="000A20BE">
      <w:pPr>
        <w:rPr>
          <w:rFonts w:cs="Arial"/>
        </w:rPr>
      </w:pPr>
    </w:p>
    <w:p w:rsidR="000A20BE" w:rsidRDefault="000A20BE">
      <w:pPr>
        <w:rPr>
          <w:rFonts w:cs="Arial"/>
        </w:rPr>
      </w:pPr>
      <w:r>
        <w:rPr>
          <w:rFonts w:cs="Arial"/>
        </w:rPr>
        <w:br w:type="page"/>
      </w:r>
    </w:p>
    <w:p w:rsidR="000A20BE" w:rsidRDefault="000A20BE" w:rsidP="000A20BE">
      <w:pPr>
        <w:pStyle w:val="berschrift2"/>
      </w:pPr>
      <w:bookmarkStart w:id="34" w:name="_Toc513756867"/>
      <w:r>
        <w:lastRenderedPageBreak/>
        <w:t>KMU</w:t>
      </w:r>
      <w:bookmarkEnd w:id="34"/>
    </w:p>
    <w:p w:rsidR="000A20BE" w:rsidRDefault="000A20BE" w:rsidP="000A20BE">
      <w:r>
        <w:t>KMU können bereits auf einige Zeit Geschäftsbetrieb zurückblicken. Es liegen Jahresabschlüsse vor, aus denen Kennzahlen zur Rentabilität oder Entwicklung abgeleitet werden können.</w:t>
      </w:r>
    </w:p>
    <w:p w:rsidR="000A20BE" w:rsidRDefault="000A20BE" w:rsidP="000A20BE"/>
    <w:p w:rsidR="000A20BE" w:rsidRDefault="000A20BE" w:rsidP="000A20BE">
      <w:r>
        <w:t>Auch Aktivvermögen ist vorhanden und kann im Sinne einer Abdeckung berücksichtigt werden. (je nach Geschäftsart).</w:t>
      </w:r>
    </w:p>
    <w:p w:rsidR="000A20BE" w:rsidRDefault="000A20BE" w:rsidP="000A20BE"/>
    <w:p w:rsidR="00903D84" w:rsidRDefault="000A20BE" w:rsidP="000A20BE">
      <w:r>
        <w:t xml:space="preserve">Im Bereich der KMU </w:t>
      </w:r>
      <w:r w:rsidR="00903D84">
        <w:t>ist somit auch eine unabhängige Prognoserechnung durch Fortschreibung bekannter Daten (Umsatz, Rentabilität, EBITA) denkbar und somit eine Ergänzung der bestehenden Informationen insbesondere im Bereich der Vergleichbarkeit aus Sicht des Konsumenten.</w:t>
      </w:r>
    </w:p>
    <w:p w:rsidR="00903D84" w:rsidRDefault="00903D84" w:rsidP="000A20BE"/>
    <w:p w:rsidR="000A20BE" w:rsidRDefault="00903D84" w:rsidP="000A20BE">
      <w:r>
        <w:t xml:space="preserve">Da die Vergleichbarkeit branchenübergreifend zu erfolgen hat empfiehlt sich auf Kennzahlen die die Anlage direkt betreffen abzustellen und diese transparent zu machen. </w:t>
      </w:r>
    </w:p>
    <w:p w:rsidR="00903D84" w:rsidRDefault="00903D84" w:rsidP="000A20BE">
      <w:r>
        <w:t>Dazu ist allerdings ebenfalls das Problem des Auffindens bzw. des plattformübergreifenden Vergleichs für den Konsumenten zu lösen.</w:t>
      </w:r>
    </w:p>
    <w:p w:rsidR="000C4657" w:rsidRDefault="000C4657">
      <w:r>
        <w:br w:type="page"/>
      </w:r>
    </w:p>
    <w:p w:rsidR="000C4657" w:rsidRDefault="000C4657" w:rsidP="000A20BE"/>
    <w:p w:rsidR="00903D84" w:rsidRDefault="00903D84" w:rsidP="000A20BE"/>
    <w:p w:rsidR="00903D84" w:rsidRDefault="00903D84" w:rsidP="00903D84">
      <w:pPr>
        <w:pStyle w:val="berschrift2"/>
      </w:pPr>
      <w:bookmarkStart w:id="35" w:name="_Toc513756868"/>
      <w:r>
        <w:t>Immobilien</w:t>
      </w:r>
      <w:bookmarkEnd w:id="35"/>
    </w:p>
    <w:p w:rsidR="00903D84" w:rsidRDefault="00903D84" w:rsidP="00903D84">
      <w:r>
        <w:t>Immobilienprojekte sind insofern eine Spezialität, als diese meist mit nur kurzer Laufzeit als Eigenkapitalersatz Mittel aufnehmen.</w:t>
      </w:r>
    </w:p>
    <w:p w:rsidR="00903D84" w:rsidRDefault="00903D84" w:rsidP="00903D84"/>
    <w:p w:rsidR="00903D84" w:rsidRDefault="00903D84" w:rsidP="00FC0B10">
      <w:r>
        <w:t xml:space="preserve">Dabei sind sowohl Gestehungskosten der Immobilie als auch prognostizierte Verkaufserlöse weitestgehend bekannt. </w:t>
      </w:r>
      <w:r w:rsidR="00FC0B10">
        <w:t xml:space="preserve">Da die Basisverzinsung nicht in Relation zu den Kosten/Ergebnis </w:t>
      </w:r>
      <w:proofErr w:type="spellStart"/>
      <w:r w:rsidR="00FC0B10">
        <w:t>Spreads</w:t>
      </w:r>
      <w:proofErr w:type="spellEnd"/>
      <w:r w:rsidR="00FC0B10">
        <w:t xml:space="preserve"> (s.u.) korreliert, sollte auch bei diesen Angeboten eine Beteiligung am Unternehmenserfolg beinhaltet sein.</w:t>
      </w:r>
    </w:p>
    <w:p w:rsidR="00903D84" w:rsidRDefault="00903D84" w:rsidP="00903D84"/>
    <w:p w:rsidR="00903D84" w:rsidRDefault="00903D84" w:rsidP="00903D84">
      <w:r>
        <w:t>Eine Vergleichbarkeit ist gegeben. Die Beurteilung über die Qualität der Planung kann hierbei hauptsächlich über die erzielbaren Preise und Verkaufserlöse betrachtet werden.</w:t>
      </w:r>
    </w:p>
    <w:p w:rsidR="00903D84" w:rsidRDefault="00903D84" w:rsidP="00903D84"/>
    <w:p w:rsidR="000A20BE" w:rsidRDefault="00903D84" w:rsidP="000A20BE">
      <w:r>
        <w:t>Aus den aktuellen Unterlagen kann dies meist nicht herausgelesen werden. Einige wenige le</w:t>
      </w:r>
      <w:r w:rsidR="000C4657">
        <w:t>gen diese Planung jedoch offen. Hiermit hat der Verbraucher die Möglichkeit die geplanten Erlöse mit den üblichen Preisen am Ort sowie die Beteiligungsrendite im Vergleich zur „Gesamteinsatzrendite“ zu ermitteln.</w:t>
      </w:r>
    </w:p>
    <w:p w:rsidR="000C4657" w:rsidRDefault="000C4657" w:rsidP="000A20BE"/>
    <w:p w:rsidR="000C4657" w:rsidRPr="000A20BE" w:rsidRDefault="000C4657" w:rsidP="000A20BE">
      <w:r>
        <w:t xml:space="preserve">Bei Immobilienentwicklungsprojekten sollte somit auf das Projekt selbst und nicht auf die Gesellschaft selbst abgestellt werden. </w:t>
      </w:r>
    </w:p>
    <w:p w:rsidR="000A20BE" w:rsidRDefault="000A20BE" w:rsidP="000A20BE">
      <w:pPr>
        <w:rPr>
          <w:rFonts w:cs="Arial"/>
        </w:rPr>
      </w:pPr>
    </w:p>
    <w:p w:rsidR="000C4657" w:rsidRDefault="000C4657" w:rsidP="000A20BE">
      <w:pPr>
        <w:rPr>
          <w:rFonts w:cs="Arial"/>
        </w:rPr>
      </w:pPr>
      <w:r>
        <w:rPr>
          <w:rFonts w:cs="Arial"/>
        </w:rPr>
        <w:t>Beispielhafte Angaben aus Unterlagen</w:t>
      </w:r>
    </w:p>
    <w:p w:rsidR="000C4657" w:rsidRDefault="000C4657" w:rsidP="000A20BE">
      <w:pPr>
        <w:rPr>
          <w:rFonts w:cs="Arial"/>
        </w:rPr>
      </w:pPr>
    </w:p>
    <w:p w:rsidR="000C4657" w:rsidRPr="00674790" w:rsidRDefault="000C4657" w:rsidP="000A20BE">
      <w:pPr>
        <w:rPr>
          <w:rFonts w:cs="Arial"/>
        </w:rPr>
      </w:pPr>
    </w:p>
    <w:p w:rsidR="00ED6F17" w:rsidRPr="00674790" w:rsidRDefault="000C4657" w:rsidP="00B023F1">
      <w:r>
        <w:rPr>
          <w:noProof/>
          <w:lang w:val="de-AT" w:eastAsia="de-AT"/>
        </w:rPr>
        <w:drawing>
          <wp:inline distT="0" distB="0" distL="0" distR="0" wp14:anchorId="742E287E" wp14:editId="29D451ED">
            <wp:extent cx="5759450" cy="299239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59450" cy="2992391"/>
                    </a:xfrm>
                    <a:prstGeom prst="rect">
                      <a:avLst/>
                    </a:prstGeom>
                  </pic:spPr>
                </pic:pic>
              </a:graphicData>
            </a:graphic>
          </wp:inline>
        </w:drawing>
      </w:r>
    </w:p>
    <w:p w:rsidR="008075EF" w:rsidRDefault="008075EF" w:rsidP="00B847AA">
      <w:pPr>
        <w:pStyle w:val="berschrift1"/>
        <w:rPr>
          <w:b w:val="0"/>
          <w:bCs w:val="0"/>
          <w:kern w:val="0"/>
          <w:sz w:val="24"/>
          <w:szCs w:val="24"/>
        </w:rPr>
      </w:pPr>
    </w:p>
    <w:p w:rsidR="006F2D40" w:rsidRDefault="006F2D40" w:rsidP="006F2D40"/>
    <w:p w:rsidR="006F2D40" w:rsidRDefault="006F2D40" w:rsidP="006F2D40"/>
    <w:p w:rsidR="006F2D40" w:rsidRPr="006F2D40" w:rsidRDefault="006F2D40" w:rsidP="006F2D40"/>
    <w:p w:rsidR="008075EF" w:rsidRPr="006F2D40" w:rsidRDefault="008075EF" w:rsidP="006F2D40">
      <w:r w:rsidRPr="006F2D40">
        <w:lastRenderedPageBreak/>
        <w:t>Die Angaben sind allerdings zu unvollständig, um Aussagen über die möglichen Immobilienansätze zu tätigen. Nur in 4 Fällen wurden Nutzfläche und prognostizierte</w:t>
      </w:r>
      <w:r>
        <w:rPr>
          <w:b/>
          <w:bCs/>
        </w:rPr>
        <w:t xml:space="preserve"> </w:t>
      </w:r>
      <w:r w:rsidRPr="006F2D40">
        <w:t>Erlöse angegeben. Hieraus kann abgeleitet werden, wie realistisch die Preisansätze sind.</w:t>
      </w:r>
    </w:p>
    <w:p w:rsidR="006F2D40" w:rsidRPr="006F2D40" w:rsidRDefault="006F2D40" w:rsidP="006F2D40"/>
    <w:p w:rsidR="006F2D40" w:rsidRPr="006F2D40" w:rsidRDefault="006F2D40" w:rsidP="006F2D40">
      <w:r w:rsidRPr="006F2D40">
        <w:t>Die Ansätze in diesen wenigen Fällen lagen bei 4.786 Euro / qm in Wien und 3.270 bis 3.523 / qm in Niederösterreich.</w:t>
      </w:r>
    </w:p>
    <w:p w:rsidR="006F2D40" w:rsidRPr="006F2D40" w:rsidRDefault="006F2D40" w:rsidP="006F2D40"/>
    <w:p w:rsidR="006F2D40" w:rsidRDefault="006F2D40" w:rsidP="006F2D40">
      <w:r>
        <w:t xml:space="preserve">Erstaunlich ist der sehr ausgedehnte </w:t>
      </w:r>
      <w:proofErr w:type="spellStart"/>
      <w:r>
        <w:t>Spread</w:t>
      </w:r>
      <w:proofErr w:type="spellEnd"/>
      <w:r>
        <w:t xml:space="preserve"> zwischen prognostizierten Investitionssummen und prognostizierten Erlösen.</w:t>
      </w:r>
    </w:p>
    <w:p w:rsidR="006F2D40" w:rsidRDefault="006F2D40" w:rsidP="006F2D40">
      <w:r>
        <w:t>Dieser lag zwischen 8,9% und 35,5% (Basis 5 Projekte).</w:t>
      </w:r>
    </w:p>
    <w:p w:rsidR="006F2D40" w:rsidRDefault="006F2D40" w:rsidP="006F2D40"/>
    <w:p w:rsidR="006F2D40" w:rsidRDefault="006F2D40" w:rsidP="006F2D40">
      <w:r>
        <w:t xml:space="preserve">Wenn man davon ausgeht, dass dieser </w:t>
      </w:r>
      <w:proofErr w:type="spellStart"/>
      <w:r>
        <w:t>Spread</w:t>
      </w:r>
      <w:proofErr w:type="spellEnd"/>
      <w:r>
        <w:t xml:space="preserve"> durch ähnliche Kalkulationen errechnet wird, ist die dafür gebotene Verzinsung nicht nachvollziehbar.</w:t>
      </w:r>
    </w:p>
    <w:p w:rsidR="006F2D40" w:rsidRDefault="006F2D40" w:rsidP="006F2D40">
      <w:r>
        <w:t>Insbesondere da bei 17 Projekten explizit die aufgenommenen Mittel als Eigenkapital-Ersatz deklariert waren, erscheint die Verzinsung nicht an die Renditeerwartungen der jeweiligen Projekte angepasst</w:t>
      </w:r>
      <w:r w:rsidR="00FC0B10">
        <w:t xml:space="preserve"> und sollte durch eine Wertsteigerungsbeteiligung bei Nachrangdarlehn ausgeglichen werden</w:t>
      </w:r>
      <w:r>
        <w:t>.</w:t>
      </w:r>
    </w:p>
    <w:p w:rsidR="006F2D40" w:rsidRDefault="006F2D40" w:rsidP="006F2D40"/>
    <w:p w:rsidR="007E2C88" w:rsidRPr="00B847AA" w:rsidRDefault="006F2D40" w:rsidP="006F2D40">
      <w:pPr>
        <w:rPr>
          <w:b/>
          <w:bCs/>
        </w:rPr>
      </w:pPr>
      <w:r>
        <w:t xml:space="preserve">Eine Vergleichbarkeit verschiedener Projekte inklusive </w:t>
      </w:r>
      <w:proofErr w:type="spellStart"/>
      <w:r>
        <w:t>Investitionsummen</w:t>
      </w:r>
      <w:proofErr w:type="spellEnd"/>
      <w:r>
        <w:t xml:space="preserve"> und erwartete Erlöse würden die Transparenz für den Verbraucher deutlich erhöhen.</w:t>
      </w:r>
      <w:r w:rsidR="00BD1BEF" w:rsidRPr="00674790">
        <w:rPr>
          <w:b/>
          <w:bCs/>
        </w:rPr>
        <w:br w:type="page"/>
      </w:r>
    </w:p>
    <w:p w:rsidR="002058F9" w:rsidRPr="00B847AA" w:rsidRDefault="007349BC" w:rsidP="00B847AA">
      <w:pPr>
        <w:pStyle w:val="berschrift1"/>
      </w:pPr>
      <w:bookmarkStart w:id="36" w:name="_Toc513756869"/>
      <w:r>
        <w:lastRenderedPageBreak/>
        <w:t>Kosten</w:t>
      </w:r>
      <w:bookmarkEnd w:id="36"/>
    </w:p>
    <w:p w:rsidR="002058F9" w:rsidRPr="00674790" w:rsidRDefault="002058F9" w:rsidP="002058F9">
      <w:pPr>
        <w:rPr>
          <w:rFonts w:cs="Arial"/>
          <w:lang w:val="en-US"/>
        </w:rPr>
      </w:pPr>
    </w:p>
    <w:p w:rsidR="00093193" w:rsidRDefault="007349BC" w:rsidP="00EF167A">
      <w:pPr>
        <w:rPr>
          <w:rFonts w:cs="Arial"/>
        </w:rPr>
      </w:pPr>
      <w:r>
        <w:rPr>
          <w:rFonts w:cs="Arial"/>
        </w:rPr>
        <w:t>Direkt dem Anleger bei Abschluss anzulastende Kosten sind eine seltene Ausnahme. Grundsätzlich sind Kosten für die Durchführung der Platzierung sowie die Abwicklung von Emittenten zu tragen.</w:t>
      </w:r>
    </w:p>
    <w:p w:rsidR="007349BC" w:rsidRDefault="007349BC" w:rsidP="00EF167A">
      <w:pPr>
        <w:rPr>
          <w:rFonts w:cs="Arial"/>
        </w:rPr>
      </w:pPr>
    </w:p>
    <w:p w:rsidR="007349BC" w:rsidRDefault="007349BC" w:rsidP="00EF167A">
      <w:pPr>
        <w:rPr>
          <w:rFonts w:cs="Arial"/>
        </w:rPr>
      </w:pPr>
      <w:r>
        <w:rPr>
          <w:rFonts w:cs="Arial"/>
        </w:rPr>
        <w:t>Allerdings sollte dies nicht darüber hinwegtäuschen, dass die Kosten für die Platzierung sehr wohl auf die Renditeerwartungen der Anleger Einfluss nehmen. Aufgrund der vorherrschenden Praxis als Finanzierungsinstrument ein qualifiziertes Nachrangdarlehn zu verwenden und dem damit zu Recht verbundenen Anspruch auf Beteiligung am Unternehmenserfolg oder der Unternehmenswertentwicklung, schlagen die Kosten somit auch indirekt auf den Anleger durch.</w:t>
      </w:r>
    </w:p>
    <w:p w:rsidR="007349BC" w:rsidRDefault="007349BC" w:rsidP="00EF167A">
      <w:pPr>
        <w:rPr>
          <w:rFonts w:cs="Arial"/>
        </w:rPr>
      </w:pPr>
    </w:p>
    <w:p w:rsidR="007349BC" w:rsidRDefault="007349BC" w:rsidP="00EF167A">
      <w:pPr>
        <w:rPr>
          <w:rFonts w:cs="Arial"/>
        </w:rPr>
      </w:pPr>
      <w:r>
        <w:rPr>
          <w:rFonts w:cs="Arial"/>
        </w:rPr>
        <w:t>Die Kosten sind von Projekt zu Projekt und auch zwischen den Plattformen erheblich unterschiedlich. Daher ist es für den Vergleich der möglichen Rendite mitentscheidend, dass dies der Anleger in seine Betrachtungen mit einbezieht.</w:t>
      </w:r>
    </w:p>
    <w:p w:rsidR="007349BC" w:rsidRDefault="007349BC" w:rsidP="00EF167A">
      <w:pPr>
        <w:rPr>
          <w:rFonts w:cs="Arial"/>
        </w:rPr>
      </w:pPr>
    </w:p>
    <w:p w:rsidR="007349BC" w:rsidRDefault="007349BC" w:rsidP="00EF167A">
      <w:pPr>
        <w:rPr>
          <w:rFonts w:cs="Arial"/>
        </w:rPr>
      </w:pPr>
      <w:r>
        <w:rPr>
          <w:rFonts w:cs="Arial"/>
        </w:rPr>
        <w:t>Die Kosten bestehen dabei aus mehreren Kostenarten, die je nach dem individuell (je Projekt) angesetzt werden.</w:t>
      </w:r>
    </w:p>
    <w:p w:rsidR="007349BC" w:rsidRDefault="007349BC" w:rsidP="00EF167A">
      <w:pPr>
        <w:rPr>
          <w:rFonts w:cs="Arial"/>
        </w:rPr>
      </w:pPr>
    </w:p>
    <w:p w:rsidR="007349BC" w:rsidRDefault="007349BC" w:rsidP="00EF167A">
      <w:pPr>
        <w:rPr>
          <w:rFonts w:cs="Arial"/>
        </w:rPr>
      </w:pPr>
      <w:r>
        <w:rPr>
          <w:rFonts w:cs="Arial"/>
        </w:rPr>
        <w:t>Dabei kann von folgenden Kostenbestandteilen ausgegangen werden:</w:t>
      </w:r>
    </w:p>
    <w:p w:rsidR="007349BC" w:rsidRDefault="007349BC" w:rsidP="00EF167A">
      <w:pPr>
        <w:rPr>
          <w:rFonts w:cs="Arial"/>
        </w:rPr>
      </w:pPr>
    </w:p>
    <w:p w:rsidR="007349BC" w:rsidRDefault="007349BC" w:rsidP="007349BC">
      <w:pPr>
        <w:pStyle w:val="berschrift2"/>
      </w:pPr>
      <w:bookmarkStart w:id="37" w:name="_Toc513756870"/>
      <w:r>
        <w:t>Einmalig</w:t>
      </w:r>
      <w:r w:rsidR="00DF2EA1">
        <w:t>e Kosten bei der Platzierung</w:t>
      </w:r>
      <w:bookmarkEnd w:id="37"/>
    </w:p>
    <w:p w:rsidR="00DF2EA1" w:rsidRDefault="00DF2EA1" w:rsidP="00DF2EA1">
      <w:r>
        <w:t>Für die Platzierung der Emission werden von den Plattformen zwischen 4 und 15% der Finanzierungskosten erhoben.</w:t>
      </w:r>
    </w:p>
    <w:p w:rsidR="00DF2EA1" w:rsidRDefault="00DF2EA1" w:rsidP="00DF2EA1">
      <w:r>
        <w:t>Verwirrend hierbei sind bereits die gewählten Formulierungen in den Informationsblättern, so wird z.B. …„</w:t>
      </w:r>
      <w:r w:rsidRPr="00DF2EA1">
        <w:rPr>
          <w:i/>
        </w:rPr>
        <w:t>Bis zu 12 % der Finanzierungssumme (Abschlag) für Beratungsleistungen im Zusammenhang mit der Kampagne</w:t>
      </w:r>
      <w:r>
        <w:t xml:space="preserve">“… nur die maximale Obergrenze jedoch nicht die tatsächliche Höhe angegeben bzw. relativiert. </w:t>
      </w:r>
    </w:p>
    <w:p w:rsidR="00DF2EA1" w:rsidRDefault="00DF2EA1" w:rsidP="00DF2EA1"/>
    <w:p w:rsidR="00DF2EA1" w:rsidRDefault="00DF2EA1" w:rsidP="00DF2EA1">
      <w:r>
        <w:t>Andere Formulierungen weisen ungefähre Kosten auf.</w:t>
      </w:r>
    </w:p>
    <w:p w:rsidR="00DF2EA1" w:rsidRDefault="00DF2EA1" w:rsidP="00DF2EA1"/>
    <w:p w:rsidR="00DF2EA1" w:rsidRPr="00DF2EA1" w:rsidRDefault="00DF2EA1" w:rsidP="00DF2EA1">
      <w:pPr>
        <w:rPr>
          <w:i/>
        </w:rPr>
      </w:pPr>
      <w:r>
        <w:rPr>
          <w:noProof/>
          <w:lang w:val="de-AT" w:eastAsia="de-AT"/>
        </w:rPr>
        <w:drawing>
          <wp:inline distT="0" distB="0" distL="0" distR="0" wp14:anchorId="0B528DCC" wp14:editId="36E70E1C">
            <wp:extent cx="3999506" cy="772602"/>
            <wp:effectExtent l="19050" t="19050" r="20320" b="279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01385" cy="772965"/>
                    </a:xfrm>
                    <a:prstGeom prst="rect">
                      <a:avLst/>
                    </a:prstGeom>
                    <a:ln>
                      <a:solidFill>
                        <a:schemeClr val="accent1"/>
                      </a:solidFill>
                    </a:ln>
                  </pic:spPr>
                </pic:pic>
              </a:graphicData>
            </a:graphic>
          </wp:inline>
        </w:drawing>
      </w:r>
    </w:p>
    <w:p w:rsidR="004400AB" w:rsidRDefault="004400AB" w:rsidP="004400AB">
      <w:pPr>
        <w:pStyle w:val="berschrift2"/>
      </w:pPr>
      <w:bookmarkStart w:id="38" w:name="_Toc513756871"/>
      <w:r>
        <w:t>Laufende Verwaltungskosten</w:t>
      </w:r>
      <w:bookmarkEnd w:id="38"/>
    </w:p>
    <w:p w:rsidR="004400AB" w:rsidRDefault="004400AB" w:rsidP="004400AB">
      <w:r>
        <w:t xml:space="preserve">Bei laufenden Kosten gibt es unterschiedliche Ansätze. </w:t>
      </w:r>
      <w:proofErr w:type="gramStart"/>
      <w:r>
        <w:t>Der</w:t>
      </w:r>
      <w:proofErr w:type="gramEnd"/>
      <w:r>
        <w:t xml:space="preserve"> häufigste (70% bei einer Basis von 50 Projekten) ist eine prozentuale Berechnung an der Finanzierungssumme. Diese bewegt sich üblicherweise in einer Spannbreite von 1 bis 1,5% (32 von 35). Dabei ist keine Korrelation zwischen Höhe der Einmal- und laufenden Kosten zu erkennen. So werden bei einem Projekt 9,5% einmalige + 0,5% jährliche Kosten verrechnet, während ein anderes Projekt 12% einmalige + 1,5% jährliche Kosten zu tragen hat.</w:t>
      </w:r>
    </w:p>
    <w:p w:rsidR="004400AB" w:rsidRDefault="004400AB" w:rsidP="004400AB"/>
    <w:p w:rsidR="00EE5B78" w:rsidRDefault="004400AB" w:rsidP="004400AB">
      <w:r>
        <w:lastRenderedPageBreak/>
        <w:t xml:space="preserve">Seltener sind Modelle, die eine Verwaltungsgebühr pro Investor </w:t>
      </w:r>
      <w:r w:rsidR="00495706">
        <w:t xml:space="preserve">ansetzen (Beispiel 12 Euro pro Investor) oder eine pauschale jährliche Vergütung ansetzen. (Beispiel Projekt GA Services 1.960Euro oder Projekt </w:t>
      </w:r>
      <w:proofErr w:type="spellStart"/>
      <w:r w:rsidR="00495706">
        <w:t>Schwarzenbergerhof</w:t>
      </w:r>
      <w:proofErr w:type="spellEnd"/>
      <w:r w:rsidR="00495706">
        <w:t xml:space="preserve"> 3.750 Euro)</w:t>
      </w:r>
      <w:r w:rsidR="00EE5B78">
        <w:t>.</w:t>
      </w:r>
    </w:p>
    <w:p w:rsidR="00EE5B78" w:rsidRDefault="00EE5B78" w:rsidP="004400AB"/>
    <w:p w:rsidR="00EE5B78" w:rsidRDefault="00EE5B78" w:rsidP="00EE5B78">
      <w:pPr>
        <w:pStyle w:val="berschrift2"/>
      </w:pPr>
      <w:bookmarkStart w:id="39" w:name="_Toc513756872"/>
      <w:r>
        <w:t>Abrechnungs- bzw. Gewinnbeteiligungsmodelle</w:t>
      </w:r>
      <w:bookmarkEnd w:id="39"/>
    </w:p>
    <w:p w:rsidR="00FB11A7" w:rsidRDefault="00FB11A7" w:rsidP="00EE5B78">
      <w:r>
        <w:t xml:space="preserve">Diese Gebührenart betrifft meist den Darlehnsgeber selbst. Für die Abwicklung der Berechnung der Gewinnbeteiligung bzw. bei Tilgung der Unternehmenswertbeteiligung erfolgt eine 15% - </w:t>
      </w:r>
      <w:proofErr w:type="spellStart"/>
      <w:r>
        <w:t>ige</w:t>
      </w:r>
      <w:proofErr w:type="spellEnd"/>
      <w:r>
        <w:t xml:space="preserve"> Kostenbelastung.</w:t>
      </w:r>
    </w:p>
    <w:p w:rsidR="00FB11A7" w:rsidRDefault="00FB11A7" w:rsidP="00EE5B78">
      <w:r>
        <w:t xml:space="preserve">Diese wird mit dem Darlehnsgeber vereinbart und dem Unternehmen belastet und stellen damit </w:t>
      </w:r>
      <w:proofErr w:type="gramStart"/>
      <w:r>
        <w:t>einen nicht unerhebliche</w:t>
      </w:r>
      <w:proofErr w:type="gramEnd"/>
      <w:r>
        <w:t xml:space="preserve"> Verminderung seiner möglichen Rendite dar.</w:t>
      </w:r>
    </w:p>
    <w:p w:rsidR="00FB11A7" w:rsidRDefault="00FB11A7" w:rsidP="00EE5B78"/>
    <w:p w:rsidR="00FB11A7" w:rsidRDefault="00FB11A7" w:rsidP="00EE5B78">
      <w:r>
        <w:t xml:space="preserve">Die gewählten Formulierungen sind dabei oft leicht </w:t>
      </w:r>
      <w:proofErr w:type="spellStart"/>
      <w:r>
        <w:t>misszuverstehen</w:t>
      </w:r>
      <w:proofErr w:type="spellEnd"/>
      <w:r>
        <w:t>.</w:t>
      </w:r>
    </w:p>
    <w:p w:rsidR="00FB11A7" w:rsidRDefault="00FB11A7" w:rsidP="00EE5B78"/>
    <w:p w:rsidR="00FB11A7" w:rsidRDefault="00FB11A7" w:rsidP="00EE5B78">
      <w:r>
        <w:t>Beispielhafte Formulierungen sind:</w:t>
      </w:r>
    </w:p>
    <w:p w:rsidR="00FB11A7" w:rsidRPr="00FB11A7" w:rsidRDefault="00FB11A7" w:rsidP="00FB11A7">
      <w:pPr>
        <w:rPr>
          <w:i/>
          <w:lang w:val="de-AT" w:eastAsia="de-AT"/>
        </w:rPr>
      </w:pPr>
      <w:r w:rsidRPr="00FB11A7">
        <w:rPr>
          <w:i/>
          <w:lang w:val="de-AT" w:eastAsia="de-AT"/>
        </w:rPr>
        <w:t>Die Plattform www.evercrowd.com vereinbart mit dem Darlehensgeber, dass 15% der auszuzahlenden,</w:t>
      </w:r>
      <w:r>
        <w:rPr>
          <w:i/>
          <w:lang w:val="de-AT" w:eastAsia="de-AT"/>
        </w:rPr>
        <w:t xml:space="preserve"> </w:t>
      </w:r>
      <w:r w:rsidRPr="00FB11A7">
        <w:rPr>
          <w:i/>
          <w:lang w:val="de-AT" w:eastAsia="de-AT"/>
        </w:rPr>
        <w:t>gewinnabhängigen Bonuszinsbeträge (lt. §6.3.) als Abwicklungskosten jeweils bei Auszahlung verrechnet werden</w:t>
      </w:r>
    </w:p>
    <w:p w:rsidR="00FB11A7" w:rsidRDefault="00FB11A7" w:rsidP="00FB11A7">
      <w:pPr>
        <w:rPr>
          <w:i/>
          <w:lang w:val="de-AT" w:eastAsia="de-AT"/>
        </w:rPr>
      </w:pPr>
      <w:r w:rsidRPr="00FB11A7">
        <w:rPr>
          <w:i/>
          <w:lang w:val="de-AT" w:eastAsia="de-AT"/>
        </w:rPr>
        <w:t xml:space="preserve">(Abschlag). Die Kosten werden dem Darlehensnehmer (MEA </w:t>
      </w:r>
      <w:proofErr w:type="spellStart"/>
      <w:r w:rsidRPr="00FB11A7">
        <w:rPr>
          <w:i/>
          <w:lang w:val="de-AT" w:eastAsia="de-AT"/>
        </w:rPr>
        <w:t>Unda</w:t>
      </w:r>
      <w:proofErr w:type="spellEnd"/>
      <w:r w:rsidRPr="00FB11A7">
        <w:rPr>
          <w:i/>
          <w:lang w:val="de-AT" w:eastAsia="de-AT"/>
        </w:rPr>
        <w:t>) in Rechnung gestellt.</w:t>
      </w:r>
    </w:p>
    <w:p w:rsidR="00FB11A7" w:rsidRDefault="00FB11A7" w:rsidP="00FB11A7">
      <w:pPr>
        <w:rPr>
          <w:i/>
          <w:lang w:val="de-AT" w:eastAsia="de-AT"/>
        </w:rPr>
      </w:pPr>
    </w:p>
    <w:p w:rsidR="00FB11A7" w:rsidRDefault="00FB11A7" w:rsidP="00FB11A7">
      <w:pPr>
        <w:rPr>
          <w:lang w:val="de-AT" w:eastAsia="de-AT"/>
        </w:rPr>
      </w:pPr>
      <w:r>
        <w:rPr>
          <w:lang w:val="de-AT" w:eastAsia="de-AT"/>
        </w:rPr>
        <w:t xml:space="preserve">Hier wird die Gebühr zwar dem Emittenten in Rechnung gestellt, </w:t>
      </w:r>
      <w:proofErr w:type="spellStart"/>
      <w:r>
        <w:rPr>
          <w:lang w:val="de-AT" w:eastAsia="de-AT"/>
        </w:rPr>
        <w:t>allerdins</w:t>
      </w:r>
      <w:proofErr w:type="spellEnd"/>
      <w:r>
        <w:rPr>
          <w:lang w:val="de-AT" w:eastAsia="de-AT"/>
        </w:rPr>
        <w:t xml:space="preserve"> wird sie als Abschlag für den Darlehnsgeber formuliert. Eine nahezu identische Formulierung findet man auch bei der Wertsteigerungsabrechnung:</w:t>
      </w:r>
    </w:p>
    <w:p w:rsidR="00FB11A7" w:rsidRDefault="00FB11A7" w:rsidP="00FB11A7">
      <w:pPr>
        <w:rPr>
          <w:lang w:val="de-AT" w:eastAsia="de-AT"/>
        </w:rPr>
      </w:pPr>
    </w:p>
    <w:p w:rsidR="006454A6" w:rsidRDefault="00FB11A7" w:rsidP="00FB11A7">
      <w:pPr>
        <w:rPr>
          <w:i/>
        </w:rPr>
      </w:pPr>
      <w:r w:rsidRPr="00FB11A7">
        <w:rPr>
          <w:i/>
        </w:rPr>
        <w:t>Die Plattform www.evercrowd.com vereinbart mit dem Darlehensgeber, dass 15% des Wertsteigerungsbonus (lt.</w:t>
      </w:r>
      <w:r>
        <w:rPr>
          <w:i/>
        </w:rPr>
        <w:t xml:space="preserve"> </w:t>
      </w:r>
      <w:r w:rsidRPr="00FB11A7">
        <w:rPr>
          <w:i/>
        </w:rPr>
        <w:t>§6.5.) als Abwicklungskosten jeweils bei Auszahlung verrechnet werden (Abschlag). Die Kosten werden dem</w:t>
      </w:r>
      <w:r>
        <w:rPr>
          <w:i/>
        </w:rPr>
        <w:t xml:space="preserve"> </w:t>
      </w:r>
      <w:r w:rsidRPr="00FB11A7">
        <w:rPr>
          <w:i/>
        </w:rPr>
        <w:t xml:space="preserve">Darlehensnehmer (MEA </w:t>
      </w:r>
      <w:proofErr w:type="spellStart"/>
      <w:r w:rsidRPr="00FB11A7">
        <w:rPr>
          <w:i/>
        </w:rPr>
        <w:t>Unda</w:t>
      </w:r>
      <w:proofErr w:type="spellEnd"/>
      <w:r w:rsidRPr="00FB11A7">
        <w:rPr>
          <w:i/>
        </w:rPr>
        <w:t>) in Rechnung gestellt.</w:t>
      </w:r>
    </w:p>
    <w:p w:rsidR="006454A6" w:rsidRDefault="006454A6" w:rsidP="00FB11A7">
      <w:pPr>
        <w:rPr>
          <w:i/>
        </w:rPr>
      </w:pPr>
    </w:p>
    <w:p w:rsidR="006454A6" w:rsidRDefault="006454A6" w:rsidP="00FB11A7">
      <w:r>
        <w:t>Deutlicher wird es in einer Formulierung aus dem Informationsblatt, wobei dies nicht unter Kosten sondern unter dem Punkt „Angaben über die Verzinsung …“ zu finden ist.</w:t>
      </w:r>
    </w:p>
    <w:p w:rsidR="006454A6" w:rsidRDefault="006454A6" w:rsidP="00FB11A7"/>
    <w:p w:rsidR="006454A6" w:rsidRDefault="006454A6" w:rsidP="006454A6">
      <w:pPr>
        <w:rPr>
          <w:i/>
        </w:rPr>
      </w:pPr>
      <w:r w:rsidRPr="006454A6">
        <w:rPr>
          <w:i/>
        </w:rPr>
        <w:t>Von dem solcherart ermittelten</w:t>
      </w:r>
      <w:r>
        <w:rPr>
          <w:i/>
        </w:rPr>
        <w:t xml:space="preserve"> </w:t>
      </w:r>
      <w:r w:rsidRPr="006454A6">
        <w:rPr>
          <w:i/>
        </w:rPr>
        <w:t>Betrag sind anteilig je Anleger die im Zusammenhang mit der Abwicklung der Unternehmenswertbeteiligung</w:t>
      </w:r>
      <w:r>
        <w:rPr>
          <w:i/>
        </w:rPr>
        <w:t xml:space="preserve"> </w:t>
      </w:r>
      <w:r w:rsidRPr="006454A6">
        <w:rPr>
          <w:i/>
        </w:rPr>
        <w:t>verbundenen Kosten für die Nutzung der Plattform der CONDA AG (entspricht 15 % der</w:t>
      </w:r>
      <w:r>
        <w:rPr>
          <w:i/>
        </w:rPr>
        <w:t xml:space="preserve"> U</w:t>
      </w:r>
      <w:r w:rsidRPr="006454A6">
        <w:rPr>
          <w:i/>
        </w:rPr>
        <w:t>nternehmenswertbeteiligung vor Berücksichtigung der Abwicklungskosten) abzuziehen.</w:t>
      </w:r>
    </w:p>
    <w:p w:rsidR="006454A6" w:rsidRDefault="006454A6" w:rsidP="006454A6">
      <w:pPr>
        <w:rPr>
          <w:i/>
        </w:rPr>
      </w:pPr>
    </w:p>
    <w:p w:rsidR="006454A6" w:rsidRDefault="006454A6" w:rsidP="006454A6">
      <w:r>
        <w:t>Unter Kosten findet sich ebenfalls der leicht missverständliche Passus:</w:t>
      </w:r>
    </w:p>
    <w:p w:rsidR="006454A6" w:rsidRDefault="006454A6" w:rsidP="006454A6"/>
    <w:p w:rsidR="006454A6" w:rsidRPr="006454A6" w:rsidRDefault="006454A6" w:rsidP="006454A6">
      <w:pPr>
        <w:rPr>
          <w:i/>
        </w:rPr>
      </w:pPr>
      <w:r w:rsidRPr="006454A6">
        <w:rPr>
          <w:i/>
        </w:rPr>
        <w:t>Im Zusammenhang mit der Abwicklung der Auszahlung der Unternehmenswertbeteiligung werden Kosten für</w:t>
      </w:r>
    </w:p>
    <w:p w:rsidR="006454A6" w:rsidRPr="006454A6" w:rsidRDefault="006454A6" w:rsidP="006454A6">
      <w:pPr>
        <w:rPr>
          <w:i/>
        </w:rPr>
      </w:pPr>
      <w:r w:rsidRPr="006454A6">
        <w:rPr>
          <w:i/>
        </w:rPr>
        <w:t xml:space="preserve">die Nutzung der Plattform der CONDA AG </w:t>
      </w:r>
      <w:proofErr w:type="spellStart"/>
      <w:r w:rsidRPr="006454A6">
        <w:rPr>
          <w:i/>
        </w:rPr>
        <w:t>i.H.v</w:t>
      </w:r>
      <w:proofErr w:type="spellEnd"/>
      <w:r w:rsidRPr="006454A6">
        <w:rPr>
          <w:i/>
        </w:rPr>
        <w:t>. 15 % von der Unternehmenswertbeteiligung abgezogen</w:t>
      </w:r>
    </w:p>
    <w:p w:rsidR="00CA6B65" w:rsidRDefault="006454A6" w:rsidP="006454A6">
      <w:pPr>
        <w:rPr>
          <w:i/>
        </w:rPr>
      </w:pPr>
      <w:r w:rsidRPr="006454A6">
        <w:rPr>
          <w:i/>
        </w:rPr>
        <w:t>(Abschlag). Die Kosten werden dem Emittenten (Unternehmen) in Rechnung gestellt.</w:t>
      </w:r>
    </w:p>
    <w:p w:rsidR="00CA6B65" w:rsidRDefault="00CA6B65" w:rsidP="006454A6">
      <w:pPr>
        <w:rPr>
          <w:i/>
        </w:rPr>
      </w:pPr>
    </w:p>
    <w:p w:rsidR="00CA6B65" w:rsidRDefault="00CA6B65" w:rsidP="006454A6"/>
    <w:p w:rsidR="00CA6B65" w:rsidRDefault="00CA6B65" w:rsidP="006454A6"/>
    <w:p w:rsidR="00CA6B65" w:rsidRDefault="00CA6B65" w:rsidP="006454A6"/>
    <w:p w:rsidR="00CA6B65" w:rsidRDefault="00CA6B65" w:rsidP="006454A6">
      <w:r>
        <w:t xml:space="preserve">Hinzu kommt, dass derartige Gebührenkonstellationen entsprechende Auswirkungen haben können auf die </w:t>
      </w:r>
      <w:proofErr w:type="spellStart"/>
      <w:r>
        <w:t>Überschußbeteiligung</w:t>
      </w:r>
      <w:proofErr w:type="spellEnd"/>
      <w:r>
        <w:t>. Führen diese Aufwendungen zur Schmälerung des Jahresüberschusses können daraus auch verringerte Renditen erfolgen bzw. bei einem dadurch verursachten Unterschreiten sogar ein Entfall die Folge sein.</w:t>
      </w:r>
    </w:p>
    <w:p w:rsidR="00CA6B65" w:rsidRDefault="00CA6B65" w:rsidP="006454A6"/>
    <w:p w:rsidR="00093193" w:rsidRPr="00FB11A7" w:rsidRDefault="00CA6B65" w:rsidP="006454A6">
      <w:pPr>
        <w:rPr>
          <w:i/>
        </w:rPr>
      </w:pPr>
      <w:r>
        <w:t>Insgesamt kann zusammengefasst werden, dass bei den betrachteten Beispielen eine die Basisverzinsung überschreitende Rendite mit ca. 15% Kosten verbunden ist. Diese Angabe ist in dieser Form in den Informationsblättern jedoch für den Verbraucher nicht eindeutig und transparent dargestellt.</w:t>
      </w:r>
      <w:r w:rsidR="00093193" w:rsidRPr="00FB11A7">
        <w:rPr>
          <w:i/>
        </w:rPr>
        <w:br w:type="page"/>
      </w:r>
    </w:p>
    <w:p w:rsidR="00093193" w:rsidRDefault="00093193" w:rsidP="00093193">
      <w:pPr>
        <w:pStyle w:val="berschrift1"/>
      </w:pPr>
      <w:bookmarkStart w:id="40" w:name="_Toc513756873"/>
      <w:r>
        <w:lastRenderedPageBreak/>
        <w:t>Anhang: Projekte</w:t>
      </w:r>
      <w:bookmarkEnd w:id="40"/>
    </w:p>
    <w:tbl>
      <w:tblPr>
        <w:tblW w:w="9008" w:type="dxa"/>
        <w:tblInd w:w="70" w:type="dxa"/>
        <w:tblCellMar>
          <w:left w:w="70" w:type="dxa"/>
          <w:right w:w="70" w:type="dxa"/>
        </w:tblCellMar>
        <w:tblLook w:val="04A0" w:firstRow="1" w:lastRow="0" w:firstColumn="1" w:lastColumn="0" w:noHBand="0" w:noVBand="1"/>
      </w:tblPr>
      <w:tblGrid>
        <w:gridCol w:w="656"/>
        <w:gridCol w:w="6570"/>
        <w:gridCol w:w="1782"/>
      </w:tblGrid>
      <w:tr w:rsidR="00093193" w:rsidRPr="00093193" w:rsidTr="00093193">
        <w:trPr>
          <w:trHeight w:val="1500"/>
        </w:trPr>
        <w:tc>
          <w:tcPr>
            <w:tcW w:w="656"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lfd</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Nr</w:t>
            </w:r>
            <w:proofErr w:type="spellEnd"/>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Firma</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Plattform</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Kendlbacher</w:t>
            </w:r>
            <w:proofErr w:type="spellEnd"/>
            <w:r w:rsidRPr="00093193">
              <w:rPr>
                <w:rFonts w:ascii="Calibri" w:hAnsi="Calibri" w:cs="Calibri"/>
                <w:color w:val="000000"/>
                <w:sz w:val="22"/>
                <w:szCs w:val="22"/>
                <w:lang w:val="de-AT" w:eastAsia="de-AT"/>
              </w:rPr>
              <w:t xml:space="preserve"> Getränkevertriebs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ab&amp;cd</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innovations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MM </w:t>
            </w:r>
            <w:proofErr w:type="spellStart"/>
            <w:r w:rsidRPr="00093193">
              <w:rPr>
                <w:rFonts w:ascii="Calibri" w:hAnsi="Calibri" w:cs="Calibri"/>
                <w:color w:val="000000"/>
                <w:sz w:val="22"/>
                <w:szCs w:val="22"/>
                <w:lang w:val="de-AT" w:eastAsia="de-AT"/>
              </w:rPr>
              <w:t>Matrazen</w:t>
            </w:r>
            <w:proofErr w:type="spellEnd"/>
            <w:r w:rsidRPr="00093193">
              <w:rPr>
                <w:rFonts w:ascii="Calibri" w:hAnsi="Calibri" w:cs="Calibri"/>
                <w:color w:val="000000"/>
                <w:sz w:val="22"/>
                <w:szCs w:val="22"/>
                <w:lang w:val="de-AT" w:eastAsia="de-AT"/>
              </w:rPr>
              <w:t xml:space="preserve"> Manufaktur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Kaahee</w:t>
            </w:r>
            <w:proofErr w:type="spellEnd"/>
            <w:r w:rsidRPr="00093193">
              <w:rPr>
                <w:rFonts w:ascii="Calibri" w:hAnsi="Calibri" w:cs="Calibri"/>
                <w:color w:val="000000"/>
                <w:sz w:val="22"/>
                <w:szCs w:val="22"/>
                <w:lang w:val="de-AT" w:eastAsia="de-AT"/>
              </w:rPr>
              <w:t xml:space="preserve"> Research </w:t>
            </w:r>
            <w:proofErr w:type="spellStart"/>
            <w:r w:rsidRPr="00093193">
              <w:rPr>
                <w:rFonts w:ascii="Calibri" w:hAnsi="Calibri" w:cs="Calibri"/>
                <w:color w:val="000000"/>
                <w:sz w:val="22"/>
                <w:szCs w:val="22"/>
                <w:lang w:val="de-AT" w:eastAsia="de-AT"/>
              </w:rPr>
              <w:t>and</w:t>
            </w:r>
            <w:proofErr w:type="spellEnd"/>
            <w:r w:rsidRPr="00093193">
              <w:rPr>
                <w:rFonts w:ascii="Calibri" w:hAnsi="Calibri" w:cs="Calibri"/>
                <w:color w:val="000000"/>
                <w:sz w:val="22"/>
                <w:szCs w:val="22"/>
                <w:lang w:val="de-AT" w:eastAsia="de-AT"/>
              </w:rPr>
              <w:t xml:space="preserve"> Development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evasis</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edibles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innveri</w:t>
            </w:r>
            <w:proofErr w:type="spellEnd"/>
            <w:r w:rsidRPr="00093193">
              <w:rPr>
                <w:rFonts w:ascii="Calibri" w:hAnsi="Calibri" w:cs="Calibri"/>
                <w:color w:val="000000"/>
                <w:sz w:val="22"/>
                <w:szCs w:val="22"/>
                <w:lang w:val="de-AT" w:eastAsia="de-AT"/>
              </w:rPr>
              <w:t xml:space="preserve"> Deutschland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CF Premium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Rendity</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Natura </w:t>
            </w:r>
            <w:proofErr w:type="spellStart"/>
            <w:r w:rsidRPr="00093193">
              <w:rPr>
                <w:rFonts w:ascii="Calibri" w:hAnsi="Calibri" w:cs="Calibri"/>
                <w:color w:val="000000"/>
                <w:sz w:val="22"/>
                <w:szCs w:val="22"/>
                <w:lang w:val="de-AT" w:eastAsia="de-AT"/>
              </w:rPr>
              <w:t>Health</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FINVEST Immobilien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FINVEST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Biogena</w:t>
            </w:r>
            <w:proofErr w:type="spellEnd"/>
            <w:r w:rsidRPr="00093193">
              <w:rPr>
                <w:rFonts w:ascii="Calibri" w:hAnsi="Calibri" w:cs="Calibri"/>
                <w:color w:val="000000"/>
                <w:sz w:val="22"/>
                <w:szCs w:val="22"/>
                <w:lang w:val="de-AT" w:eastAsia="de-AT"/>
              </w:rPr>
              <w:t xml:space="preserve"> Naturprodukte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Christian </w:t>
            </w:r>
            <w:proofErr w:type="spellStart"/>
            <w:r w:rsidRPr="00093193">
              <w:rPr>
                <w:rFonts w:ascii="Calibri" w:hAnsi="Calibri" w:cs="Calibri"/>
                <w:color w:val="000000"/>
                <w:sz w:val="22"/>
                <w:szCs w:val="22"/>
                <w:lang w:val="de-AT" w:eastAsia="de-AT"/>
              </w:rPr>
              <w:t>Prokopp</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Mayer&amp;Partner</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all i </w:t>
            </w:r>
            <w:proofErr w:type="spellStart"/>
            <w:r w:rsidRPr="00093193">
              <w:rPr>
                <w:rFonts w:ascii="Calibri" w:hAnsi="Calibri" w:cs="Calibri"/>
                <w:color w:val="000000"/>
                <w:sz w:val="22"/>
                <w:szCs w:val="22"/>
                <w:lang w:val="de-AT" w:eastAsia="de-AT"/>
              </w:rPr>
              <w:t>need</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beverage</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Powerpixxel</w:t>
            </w:r>
            <w:proofErr w:type="spellEnd"/>
            <w:r w:rsidRPr="00093193">
              <w:rPr>
                <w:rFonts w:ascii="Calibri" w:hAnsi="Calibri" w:cs="Calibri"/>
                <w:color w:val="000000"/>
                <w:sz w:val="22"/>
                <w:szCs w:val="22"/>
                <w:lang w:val="de-AT" w:eastAsia="de-AT"/>
              </w:rPr>
              <w:t xml:space="preserve"> RCDE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G.A. Service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Herzdame</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Göttin des Glücks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eigen</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Willy*Fred</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eigen</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Schwarzbergerhof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innovation</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Greenride</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innovation</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20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ATT </w:t>
            </w:r>
            <w:proofErr w:type="spellStart"/>
            <w:r w:rsidRPr="00093193">
              <w:rPr>
                <w:rFonts w:ascii="Calibri" w:hAnsi="Calibri" w:cs="Calibri"/>
                <w:color w:val="000000"/>
                <w:sz w:val="22"/>
                <w:szCs w:val="22"/>
                <w:lang w:val="de-AT" w:eastAsia="de-AT"/>
              </w:rPr>
              <w:t>Advanced</w:t>
            </w:r>
            <w:proofErr w:type="spellEnd"/>
            <w:r w:rsidRPr="00093193">
              <w:rPr>
                <w:rFonts w:ascii="Calibri" w:hAnsi="Calibri" w:cs="Calibri"/>
                <w:color w:val="000000"/>
                <w:sz w:val="22"/>
                <w:szCs w:val="22"/>
                <w:lang w:val="de-AT" w:eastAsia="de-AT"/>
              </w:rPr>
              <w:t xml:space="preserve"> thermal </w:t>
            </w:r>
            <w:proofErr w:type="spellStart"/>
            <w:r w:rsidRPr="00093193">
              <w:rPr>
                <w:rFonts w:ascii="Calibri" w:hAnsi="Calibri" w:cs="Calibri"/>
                <w:color w:val="000000"/>
                <w:sz w:val="22"/>
                <w:szCs w:val="22"/>
                <w:lang w:val="de-AT" w:eastAsia="de-AT"/>
              </w:rPr>
              <w:t>technologies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21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BikeCityGuide</w:t>
            </w:r>
            <w:proofErr w:type="spellEnd"/>
            <w:r w:rsidRPr="00093193">
              <w:rPr>
                <w:rFonts w:ascii="Calibri" w:hAnsi="Calibri" w:cs="Calibri"/>
                <w:color w:val="000000"/>
                <w:sz w:val="22"/>
                <w:szCs w:val="22"/>
                <w:lang w:val="de-AT" w:eastAsia="de-AT"/>
              </w:rPr>
              <w:t xml:space="preserve"> Apps</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22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Compuritas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23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holis</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market</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24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mushroom</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production</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center</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25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Bauabschnitt 1 - Projekt </w:t>
            </w:r>
            <w:proofErr w:type="spellStart"/>
            <w:r w:rsidRPr="00093193">
              <w:rPr>
                <w:rFonts w:ascii="Calibri" w:hAnsi="Calibri" w:cs="Calibri"/>
                <w:color w:val="000000"/>
                <w:sz w:val="22"/>
                <w:szCs w:val="22"/>
                <w:lang w:val="de-AT" w:eastAsia="de-AT"/>
              </w:rPr>
              <w:t>Puntigam</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26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C&amp;P Bauträger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27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RisottoBox</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Betriebsges</w:t>
            </w:r>
            <w:proofErr w:type="spellEnd"/>
            <w:r w:rsidRPr="00093193">
              <w:rPr>
                <w:rFonts w:ascii="Calibri" w:hAnsi="Calibri" w:cs="Calibri"/>
                <w:color w:val="000000"/>
                <w:sz w:val="22"/>
                <w:szCs w:val="22"/>
                <w:lang w:val="de-AT" w:eastAsia="de-AT"/>
              </w:rPr>
              <w:t>. 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28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Biogena</w:t>
            </w:r>
            <w:proofErr w:type="spellEnd"/>
            <w:r w:rsidRPr="00093193">
              <w:rPr>
                <w:rFonts w:ascii="Calibri" w:hAnsi="Calibri" w:cs="Calibri"/>
                <w:color w:val="000000"/>
                <w:sz w:val="22"/>
                <w:szCs w:val="22"/>
                <w:lang w:val="de-AT" w:eastAsia="de-AT"/>
              </w:rPr>
              <w:t xml:space="preserve"> Naturprodukte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29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Wohnpark Bauträger W.B.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30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Upsynth</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31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Christian Schrempf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32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Cavisto</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33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Ipus</w:t>
            </w:r>
            <w:proofErr w:type="spellEnd"/>
            <w:r w:rsidRPr="00093193">
              <w:rPr>
                <w:rFonts w:ascii="Calibri" w:hAnsi="Calibri" w:cs="Calibri"/>
                <w:color w:val="000000"/>
                <w:sz w:val="22"/>
                <w:szCs w:val="22"/>
                <w:lang w:val="de-AT" w:eastAsia="de-AT"/>
              </w:rPr>
              <w:t xml:space="preserve"> Mineral &amp; Umwelttechnologie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34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C&amp;P Bauträger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35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Taste Evolution </w:t>
            </w:r>
            <w:proofErr w:type="spellStart"/>
            <w:r w:rsidRPr="00093193">
              <w:rPr>
                <w:rFonts w:ascii="Calibri" w:hAnsi="Calibri" w:cs="Calibri"/>
                <w:color w:val="000000"/>
                <w:sz w:val="22"/>
                <w:szCs w:val="22"/>
                <w:lang w:val="de-AT" w:eastAsia="de-AT"/>
              </w:rPr>
              <w:t>spol</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s.r.o</w:t>
            </w:r>
            <w:proofErr w:type="spellEnd"/>
            <w:r w:rsidRPr="00093193">
              <w:rPr>
                <w:rFonts w:ascii="Calibri" w:hAnsi="Calibri" w:cs="Calibri"/>
                <w:color w:val="000000"/>
                <w:sz w:val="22"/>
                <w:szCs w:val="22"/>
                <w:lang w:val="de-AT" w:eastAsia="de-AT"/>
              </w:rPr>
              <w:t>.</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36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CARSPAZE Services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evercrowd</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37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eventDATA</w:t>
            </w:r>
            <w:proofErr w:type="spellEnd"/>
            <w:r w:rsidRPr="00093193">
              <w:rPr>
                <w:rFonts w:ascii="Calibri" w:hAnsi="Calibri" w:cs="Calibri"/>
                <w:color w:val="000000"/>
                <w:sz w:val="22"/>
                <w:szCs w:val="22"/>
                <w:lang w:val="de-AT" w:eastAsia="de-AT"/>
              </w:rPr>
              <w:t>-services Austria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38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up-Umweltpionier</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39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Loitsch</w:t>
            </w:r>
            <w:proofErr w:type="spellEnd"/>
            <w:r w:rsidRPr="00093193">
              <w:rPr>
                <w:rFonts w:ascii="Calibri" w:hAnsi="Calibri" w:cs="Calibri"/>
                <w:color w:val="000000"/>
                <w:sz w:val="22"/>
                <w:szCs w:val="22"/>
                <w:lang w:val="de-AT" w:eastAsia="de-AT"/>
              </w:rPr>
              <w:t xml:space="preserve"> Fashion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evercrowd</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40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Harrys Home Holding AG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lastRenderedPageBreak/>
              <w:t>41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Borza</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Terjatev</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d.o.o</w:t>
            </w:r>
            <w:proofErr w:type="spellEnd"/>
            <w:r w:rsidRPr="00093193">
              <w:rPr>
                <w:rFonts w:ascii="Calibri" w:hAnsi="Calibri" w:cs="Calibri"/>
                <w:color w:val="000000"/>
                <w:sz w:val="22"/>
                <w:szCs w:val="22"/>
                <w:lang w:val="de-AT" w:eastAsia="de-AT"/>
              </w:rPr>
              <w:t>.</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42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Spörk</w:t>
            </w:r>
            <w:proofErr w:type="spellEnd"/>
            <w:r w:rsidRPr="00093193">
              <w:rPr>
                <w:rFonts w:ascii="Calibri" w:hAnsi="Calibri" w:cs="Calibri"/>
                <w:color w:val="000000"/>
                <w:sz w:val="22"/>
                <w:szCs w:val="22"/>
                <w:lang w:val="de-AT" w:eastAsia="de-AT"/>
              </w:rPr>
              <w:t xml:space="preserve"> Antriebssysteme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43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Biogena</w:t>
            </w:r>
            <w:proofErr w:type="spellEnd"/>
            <w:r w:rsidRPr="00093193">
              <w:rPr>
                <w:rFonts w:ascii="Calibri" w:hAnsi="Calibri" w:cs="Calibri"/>
                <w:color w:val="000000"/>
                <w:sz w:val="22"/>
                <w:szCs w:val="22"/>
                <w:lang w:val="de-AT" w:eastAsia="de-AT"/>
              </w:rPr>
              <w:t xml:space="preserve"> Naturprodukte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44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FK Austria Wien AG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45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SOFTIBLLE </w:t>
            </w:r>
            <w:proofErr w:type="spellStart"/>
            <w:r w:rsidRPr="00093193">
              <w:rPr>
                <w:rFonts w:ascii="Calibri" w:hAnsi="Calibri" w:cs="Calibri"/>
                <w:color w:val="000000"/>
                <w:sz w:val="22"/>
                <w:szCs w:val="22"/>
                <w:lang w:val="de-AT" w:eastAsia="de-AT"/>
              </w:rPr>
              <w:t>druzba</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za</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trzenje</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d.o.o</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46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Avoris</w:t>
            </w:r>
            <w:proofErr w:type="spellEnd"/>
            <w:r w:rsidRPr="00093193">
              <w:rPr>
                <w:rFonts w:ascii="Calibri" w:hAnsi="Calibri" w:cs="Calibri"/>
                <w:color w:val="000000"/>
                <w:sz w:val="22"/>
                <w:szCs w:val="22"/>
                <w:lang w:val="de-AT" w:eastAsia="de-AT"/>
              </w:rPr>
              <w:t xml:space="preserve"> Immobilienentwicklung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47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nuapua</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48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HGV Kräutergarten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49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Babette's</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Spice</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and</w:t>
            </w:r>
            <w:proofErr w:type="spellEnd"/>
            <w:r w:rsidRPr="00093193">
              <w:rPr>
                <w:rFonts w:ascii="Calibri" w:hAnsi="Calibri" w:cs="Calibri"/>
                <w:color w:val="000000"/>
                <w:sz w:val="22"/>
                <w:szCs w:val="22"/>
                <w:lang w:val="de-AT" w:eastAsia="de-AT"/>
              </w:rPr>
              <w:t xml:space="preserve"> Books </w:t>
            </w:r>
            <w:proofErr w:type="spellStart"/>
            <w:r w:rsidRPr="00093193">
              <w:rPr>
                <w:rFonts w:ascii="Calibri" w:hAnsi="Calibri" w:cs="Calibri"/>
                <w:color w:val="000000"/>
                <w:sz w:val="22"/>
                <w:szCs w:val="22"/>
                <w:lang w:val="de-AT" w:eastAsia="de-AT"/>
              </w:rPr>
              <w:t>fopr</w:t>
            </w:r>
            <w:proofErr w:type="spellEnd"/>
            <w:r w:rsidRPr="00093193">
              <w:rPr>
                <w:rFonts w:ascii="Calibri" w:hAnsi="Calibri" w:cs="Calibri"/>
                <w:color w:val="000000"/>
                <w:sz w:val="22"/>
                <w:szCs w:val="22"/>
                <w:lang w:val="de-AT" w:eastAsia="de-AT"/>
              </w:rPr>
              <w:t xml:space="preserve"> Cooks </w:t>
            </w:r>
            <w:proofErr w:type="spellStart"/>
            <w:r w:rsidRPr="00093193">
              <w:rPr>
                <w:rFonts w:ascii="Calibri" w:hAnsi="Calibri" w:cs="Calibri"/>
                <w:color w:val="000000"/>
                <w:sz w:val="22"/>
                <w:szCs w:val="22"/>
                <w:lang w:val="de-AT" w:eastAsia="de-AT"/>
              </w:rPr>
              <w:t>Pernstich</w:t>
            </w:r>
            <w:proofErr w:type="spellEnd"/>
            <w:r w:rsidRPr="00093193">
              <w:rPr>
                <w:rFonts w:ascii="Calibri" w:hAnsi="Calibri" w:cs="Calibri"/>
                <w:color w:val="000000"/>
                <w:sz w:val="22"/>
                <w:szCs w:val="22"/>
                <w:lang w:val="de-AT" w:eastAsia="de-AT"/>
              </w:rPr>
              <w:t xml:space="preserve">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50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neovoltaic</w:t>
            </w:r>
            <w:proofErr w:type="spellEnd"/>
            <w:r w:rsidRPr="00093193">
              <w:rPr>
                <w:rFonts w:ascii="Calibri" w:hAnsi="Calibri" w:cs="Calibri"/>
                <w:color w:val="000000"/>
                <w:sz w:val="22"/>
                <w:szCs w:val="22"/>
                <w:lang w:val="de-AT" w:eastAsia="de-AT"/>
              </w:rPr>
              <w:t xml:space="preserve"> AG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51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Ramsi</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52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Schwarzbergerhof GmbH- 2</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innovation</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53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AAE Ökoenergie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Ökoenergie</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54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Ökoenergie WP </w:t>
            </w:r>
            <w:proofErr w:type="spellStart"/>
            <w:r w:rsidRPr="00093193">
              <w:rPr>
                <w:rFonts w:ascii="Calibri" w:hAnsi="Calibri" w:cs="Calibri"/>
                <w:color w:val="000000"/>
                <w:sz w:val="22"/>
                <w:szCs w:val="22"/>
                <w:lang w:val="de-AT" w:eastAsia="de-AT"/>
              </w:rPr>
              <w:t>Pillichsdorf</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Gmbh</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Ökoenergie</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55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Vestwerk</w:t>
            </w:r>
            <w:proofErr w:type="spellEnd"/>
            <w:r w:rsidRPr="00093193">
              <w:rPr>
                <w:rFonts w:ascii="Calibri" w:hAnsi="Calibri" w:cs="Calibri"/>
                <w:color w:val="000000"/>
                <w:sz w:val="22"/>
                <w:szCs w:val="22"/>
                <w:lang w:val="de-AT" w:eastAsia="de-AT"/>
              </w:rPr>
              <w:t xml:space="preserve"> The Son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56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S.O.L.I.D. International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57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Flybelt</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58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Lehner &amp; Trompeter Bauträger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59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Dr. Thomas Achs</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60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Samina</w:t>
            </w:r>
            <w:proofErr w:type="spellEnd"/>
            <w:r w:rsidRPr="00093193">
              <w:rPr>
                <w:rFonts w:ascii="Calibri" w:hAnsi="Calibri" w:cs="Calibri"/>
                <w:color w:val="000000"/>
                <w:sz w:val="22"/>
                <w:szCs w:val="22"/>
                <w:lang w:val="de-AT" w:eastAsia="de-AT"/>
              </w:rPr>
              <w:t xml:space="preserve"> Produktions- Und Handels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61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Auroco</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62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HADI App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64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san</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Sirro</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Gmbh</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65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Ashara</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Gmbh</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innovation</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66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Haring</w:t>
            </w:r>
            <w:proofErr w:type="spellEnd"/>
            <w:r w:rsidRPr="00093193">
              <w:rPr>
                <w:rFonts w:ascii="Calibri" w:hAnsi="Calibri" w:cs="Calibri"/>
                <w:color w:val="000000"/>
                <w:sz w:val="22"/>
                <w:szCs w:val="22"/>
                <w:lang w:val="de-AT" w:eastAsia="de-AT"/>
              </w:rPr>
              <w:t xml:space="preserve"> Group Bauträger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67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Blue Power </w:t>
            </w:r>
            <w:proofErr w:type="spellStart"/>
            <w:r w:rsidRPr="00093193">
              <w:rPr>
                <w:rFonts w:ascii="Calibri" w:hAnsi="Calibri" w:cs="Calibri"/>
                <w:color w:val="000000"/>
                <w:sz w:val="22"/>
                <w:szCs w:val="22"/>
                <w:lang w:val="de-AT" w:eastAsia="de-AT"/>
              </w:rPr>
              <w:t>Gmbh</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68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pona</w:t>
            </w:r>
            <w:proofErr w:type="spellEnd"/>
            <w:r w:rsidRPr="00093193">
              <w:rPr>
                <w:rFonts w:ascii="Calibri" w:hAnsi="Calibri" w:cs="Calibri"/>
                <w:color w:val="000000"/>
                <w:sz w:val="22"/>
                <w:szCs w:val="22"/>
                <w:lang w:val="de-AT" w:eastAsia="de-AT"/>
              </w:rPr>
              <w:t xml:space="preserve"> sonst nix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69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Wohnpark Bauträger W.B.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70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SLM </w:t>
            </w:r>
            <w:proofErr w:type="spellStart"/>
            <w:r w:rsidRPr="00093193">
              <w:rPr>
                <w:rFonts w:ascii="Calibri" w:hAnsi="Calibri" w:cs="Calibri"/>
                <w:color w:val="000000"/>
                <w:sz w:val="22"/>
                <w:szCs w:val="22"/>
                <w:lang w:val="de-AT" w:eastAsia="de-AT"/>
              </w:rPr>
              <w:t>Verwaltung&amp;Beteiligungs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71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Leschanz</w:t>
            </w:r>
            <w:proofErr w:type="spellEnd"/>
            <w:r w:rsidRPr="00093193">
              <w:rPr>
                <w:rFonts w:ascii="Calibri" w:hAnsi="Calibri" w:cs="Calibri"/>
                <w:color w:val="000000"/>
                <w:sz w:val="22"/>
                <w:szCs w:val="22"/>
                <w:lang w:val="de-AT" w:eastAsia="de-AT"/>
              </w:rPr>
              <w:t xml:space="preserve"> GesmbH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72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Biogena</w:t>
            </w:r>
            <w:proofErr w:type="spellEnd"/>
            <w:r w:rsidRPr="00093193">
              <w:rPr>
                <w:rFonts w:ascii="Calibri" w:hAnsi="Calibri" w:cs="Calibri"/>
                <w:color w:val="000000"/>
                <w:sz w:val="22"/>
                <w:szCs w:val="22"/>
                <w:lang w:val="de-AT" w:eastAsia="de-AT"/>
              </w:rPr>
              <w:t xml:space="preserve"> Naturprodukte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73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WimTec</w:t>
            </w:r>
            <w:proofErr w:type="spellEnd"/>
            <w:r w:rsidRPr="00093193">
              <w:rPr>
                <w:rFonts w:ascii="Calibri" w:hAnsi="Calibri" w:cs="Calibri"/>
                <w:color w:val="000000"/>
                <w:sz w:val="22"/>
                <w:szCs w:val="22"/>
                <w:lang w:val="de-AT" w:eastAsia="de-AT"/>
              </w:rPr>
              <w:t xml:space="preserve"> Sanitärprodukte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alcedo</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74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Lichtprojekt Aigner &amp; </w:t>
            </w:r>
            <w:proofErr w:type="spellStart"/>
            <w:r w:rsidRPr="00093193">
              <w:rPr>
                <w:rFonts w:ascii="Calibri" w:hAnsi="Calibri" w:cs="Calibri"/>
                <w:color w:val="000000"/>
                <w:sz w:val="22"/>
                <w:szCs w:val="22"/>
                <w:lang w:val="de-AT" w:eastAsia="de-AT"/>
              </w:rPr>
              <w:t>Wöber</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75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Spörk</w:t>
            </w:r>
            <w:proofErr w:type="spellEnd"/>
            <w:r w:rsidRPr="00093193">
              <w:rPr>
                <w:rFonts w:ascii="Calibri" w:hAnsi="Calibri" w:cs="Calibri"/>
                <w:color w:val="000000"/>
                <w:sz w:val="22"/>
                <w:szCs w:val="22"/>
                <w:lang w:val="de-AT" w:eastAsia="de-AT"/>
              </w:rPr>
              <w:t xml:space="preserve"> Antriebssysteme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76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Lehner &amp; Trompeter Bauträger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77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workingspace</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gars</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gmbh</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regionalfunding</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78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plants4friends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79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PIP </w:t>
            </w:r>
            <w:proofErr w:type="spellStart"/>
            <w:r w:rsidRPr="00093193">
              <w:rPr>
                <w:rFonts w:ascii="Calibri" w:hAnsi="Calibri" w:cs="Calibri"/>
                <w:color w:val="000000"/>
                <w:sz w:val="22"/>
                <w:szCs w:val="22"/>
                <w:lang w:val="de-AT" w:eastAsia="de-AT"/>
              </w:rPr>
              <w:t>Immobilieninvestmen</w:t>
            </w:r>
            <w:proofErr w:type="spellEnd"/>
            <w:r w:rsidRPr="00093193">
              <w:rPr>
                <w:rFonts w:ascii="Calibri" w:hAnsi="Calibri" w:cs="Calibri"/>
                <w:color w:val="000000"/>
                <w:sz w:val="22"/>
                <w:szCs w:val="22"/>
                <w:lang w:val="de-AT" w:eastAsia="de-AT"/>
              </w:rPr>
              <w:t xml:space="preserve"> ZWEI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80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Gettpal</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s.r.o</w:t>
            </w:r>
            <w:proofErr w:type="spellEnd"/>
            <w:r w:rsidRPr="00093193">
              <w:rPr>
                <w:rFonts w:ascii="Calibri" w:hAnsi="Calibri" w:cs="Calibri"/>
                <w:color w:val="000000"/>
                <w:sz w:val="22"/>
                <w:szCs w:val="22"/>
                <w:lang w:val="de-AT" w:eastAsia="de-AT"/>
              </w:rPr>
              <w:t>.</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81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Kreutzers </w:t>
            </w:r>
            <w:proofErr w:type="spellStart"/>
            <w:r w:rsidRPr="00093193">
              <w:rPr>
                <w:rFonts w:ascii="Calibri" w:hAnsi="Calibri" w:cs="Calibri"/>
                <w:color w:val="000000"/>
                <w:sz w:val="22"/>
                <w:szCs w:val="22"/>
                <w:lang w:val="de-AT" w:eastAsia="de-AT"/>
              </w:rPr>
              <w:t>Gorumet</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82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Mobile Solarkraftwerke Afrika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crowd4climate</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83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Autonom </w:t>
            </w:r>
            <w:proofErr w:type="spellStart"/>
            <w:r w:rsidRPr="00093193">
              <w:rPr>
                <w:rFonts w:ascii="Calibri" w:hAnsi="Calibri" w:cs="Calibri"/>
                <w:color w:val="000000"/>
                <w:sz w:val="22"/>
                <w:szCs w:val="22"/>
                <w:lang w:val="de-AT" w:eastAsia="de-AT"/>
              </w:rPr>
              <w:t>Health</w:t>
            </w:r>
            <w:proofErr w:type="spellEnd"/>
            <w:r w:rsidRPr="00093193">
              <w:rPr>
                <w:rFonts w:ascii="Calibri" w:hAnsi="Calibri" w:cs="Calibri"/>
                <w:color w:val="000000"/>
                <w:sz w:val="22"/>
                <w:szCs w:val="22"/>
                <w:lang w:val="de-AT" w:eastAsia="de-AT"/>
              </w:rPr>
              <w:t xml:space="preserve"> - </w:t>
            </w:r>
            <w:proofErr w:type="spellStart"/>
            <w:r w:rsidRPr="00093193">
              <w:rPr>
                <w:rFonts w:ascii="Calibri" w:hAnsi="Calibri" w:cs="Calibri"/>
                <w:color w:val="000000"/>
                <w:sz w:val="22"/>
                <w:szCs w:val="22"/>
                <w:lang w:val="de-AT" w:eastAsia="de-AT"/>
              </w:rPr>
              <w:t>Gesundheitsbildungs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84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Solantis</w:t>
            </w:r>
            <w:proofErr w:type="spellEnd"/>
            <w:r w:rsidRPr="00093193">
              <w:rPr>
                <w:rFonts w:ascii="Calibri" w:hAnsi="Calibri" w:cs="Calibri"/>
                <w:color w:val="000000"/>
                <w:sz w:val="22"/>
                <w:szCs w:val="22"/>
                <w:lang w:val="de-AT" w:eastAsia="de-AT"/>
              </w:rPr>
              <w:t xml:space="preserve"> Solar Ltd.</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crowd4climate</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85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Gasteiner Bergbahnen AG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86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Mobeck</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evercrowd</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87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MEA </w:t>
            </w:r>
            <w:proofErr w:type="spellStart"/>
            <w:r w:rsidRPr="00093193">
              <w:rPr>
                <w:rFonts w:ascii="Calibri" w:hAnsi="Calibri" w:cs="Calibri"/>
                <w:color w:val="000000"/>
                <w:sz w:val="22"/>
                <w:szCs w:val="22"/>
                <w:lang w:val="de-AT" w:eastAsia="de-AT"/>
              </w:rPr>
              <w:t>Unda</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Gmbh</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evercrowd</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lastRenderedPageBreak/>
              <w:t>88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Bakerbros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89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techbold</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technology</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group</w:t>
            </w:r>
            <w:proofErr w:type="spellEnd"/>
            <w:r w:rsidRPr="00093193">
              <w:rPr>
                <w:rFonts w:ascii="Calibri" w:hAnsi="Calibri" w:cs="Calibri"/>
                <w:color w:val="000000"/>
                <w:sz w:val="22"/>
                <w:szCs w:val="22"/>
                <w:lang w:val="de-AT" w:eastAsia="de-AT"/>
              </w:rPr>
              <w:t xml:space="preserve"> AG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90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Risus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91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Wohnpark Bauträger W.B.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92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ecoLiving</w:t>
            </w:r>
            <w:proofErr w:type="spellEnd"/>
            <w:r w:rsidRPr="00093193">
              <w:rPr>
                <w:rFonts w:ascii="Calibri" w:hAnsi="Calibri" w:cs="Calibri"/>
                <w:color w:val="000000"/>
                <w:sz w:val="22"/>
                <w:szCs w:val="22"/>
                <w:lang w:val="de-AT" w:eastAsia="de-AT"/>
              </w:rPr>
              <w:t xml:space="preserve">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93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CI Charter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94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ELPACK Verpackungssysteme und Logistik</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95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Clerfaytgasse</w:t>
            </w:r>
            <w:proofErr w:type="spellEnd"/>
            <w:r w:rsidRPr="00093193">
              <w:rPr>
                <w:rFonts w:ascii="Calibri" w:hAnsi="Calibri" w:cs="Calibri"/>
                <w:color w:val="000000"/>
                <w:sz w:val="22"/>
                <w:szCs w:val="22"/>
                <w:lang w:val="de-AT" w:eastAsia="de-AT"/>
              </w:rPr>
              <w:t xml:space="preserve"> 5 </w:t>
            </w:r>
            <w:proofErr w:type="spellStart"/>
            <w:r w:rsidRPr="00093193">
              <w:rPr>
                <w:rFonts w:ascii="Calibri" w:hAnsi="Calibri" w:cs="Calibri"/>
                <w:color w:val="000000"/>
                <w:sz w:val="22"/>
                <w:szCs w:val="22"/>
                <w:lang w:val="de-AT" w:eastAsia="de-AT"/>
              </w:rPr>
              <w:t>Dachgeschoßerrichtungs</w:t>
            </w:r>
            <w:proofErr w:type="spellEnd"/>
            <w:r w:rsidRPr="00093193">
              <w:rPr>
                <w:rFonts w:ascii="Calibri" w:hAnsi="Calibri" w:cs="Calibri"/>
                <w:color w:val="000000"/>
                <w:sz w:val="22"/>
                <w:szCs w:val="22"/>
                <w:lang w:val="de-AT" w:eastAsia="de-AT"/>
              </w:rPr>
              <w:t xml:space="preserve"> und </w:t>
            </w:r>
            <w:proofErr w:type="spellStart"/>
            <w:r w:rsidRPr="00093193">
              <w:rPr>
                <w:rFonts w:ascii="Calibri" w:hAnsi="Calibri" w:cs="Calibri"/>
                <w:color w:val="000000"/>
                <w:sz w:val="22"/>
                <w:szCs w:val="22"/>
                <w:lang w:val="de-AT" w:eastAsia="de-AT"/>
              </w:rPr>
              <w:t>Verwaltungs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96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Clerfaytgasse</w:t>
            </w:r>
            <w:proofErr w:type="spellEnd"/>
            <w:r w:rsidRPr="00093193">
              <w:rPr>
                <w:rFonts w:ascii="Calibri" w:hAnsi="Calibri" w:cs="Calibri"/>
                <w:color w:val="000000"/>
                <w:sz w:val="22"/>
                <w:szCs w:val="22"/>
                <w:lang w:val="de-AT" w:eastAsia="de-AT"/>
              </w:rPr>
              <w:t xml:space="preserve"> 5 </w:t>
            </w:r>
            <w:proofErr w:type="spellStart"/>
            <w:r w:rsidRPr="00093193">
              <w:rPr>
                <w:rFonts w:ascii="Calibri" w:hAnsi="Calibri" w:cs="Calibri"/>
                <w:color w:val="000000"/>
                <w:sz w:val="22"/>
                <w:szCs w:val="22"/>
                <w:lang w:val="de-AT" w:eastAsia="de-AT"/>
              </w:rPr>
              <w:t>Dachgeschoßerrichtungs</w:t>
            </w:r>
            <w:proofErr w:type="spellEnd"/>
            <w:r w:rsidRPr="00093193">
              <w:rPr>
                <w:rFonts w:ascii="Calibri" w:hAnsi="Calibri" w:cs="Calibri"/>
                <w:color w:val="000000"/>
                <w:sz w:val="22"/>
                <w:szCs w:val="22"/>
                <w:lang w:val="de-AT" w:eastAsia="de-AT"/>
              </w:rPr>
              <w:t xml:space="preserve"> und </w:t>
            </w:r>
            <w:proofErr w:type="spellStart"/>
            <w:r w:rsidRPr="00093193">
              <w:rPr>
                <w:rFonts w:ascii="Calibri" w:hAnsi="Calibri" w:cs="Calibri"/>
                <w:color w:val="000000"/>
                <w:sz w:val="22"/>
                <w:szCs w:val="22"/>
                <w:lang w:val="de-AT" w:eastAsia="de-AT"/>
              </w:rPr>
              <w:t>Verwaltungs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97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Lehner &amp; Trompeter Bauträger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98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Grooba</w:t>
            </w:r>
            <w:proofErr w:type="spellEnd"/>
            <w:r w:rsidRPr="00093193">
              <w:rPr>
                <w:rFonts w:ascii="Calibri" w:hAnsi="Calibri" w:cs="Calibri"/>
                <w:color w:val="000000"/>
                <w:sz w:val="22"/>
                <w:szCs w:val="22"/>
                <w:lang w:val="de-AT" w:eastAsia="de-AT"/>
              </w:rPr>
              <w:t xml:space="preserve"> Trading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99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ants</w:t>
            </w:r>
            <w:proofErr w:type="spellEnd"/>
            <w:r w:rsidRPr="00093193">
              <w:rPr>
                <w:rFonts w:ascii="Calibri" w:hAnsi="Calibri" w:cs="Calibri"/>
                <w:color w:val="000000"/>
                <w:sz w:val="22"/>
                <w:szCs w:val="22"/>
                <w:lang w:val="de-AT" w:eastAsia="de-AT"/>
              </w:rPr>
              <w:t xml:space="preserve"> in </w:t>
            </w:r>
            <w:proofErr w:type="spellStart"/>
            <w:r w:rsidRPr="00093193">
              <w:rPr>
                <w:rFonts w:ascii="Calibri" w:hAnsi="Calibri" w:cs="Calibri"/>
                <w:color w:val="000000"/>
                <w:sz w:val="22"/>
                <w:szCs w:val="22"/>
                <w:lang w:val="de-AT" w:eastAsia="de-AT"/>
              </w:rPr>
              <w:t>your</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pants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100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Voelkel</w:t>
            </w:r>
            <w:proofErr w:type="spellEnd"/>
            <w:r w:rsidRPr="00093193">
              <w:rPr>
                <w:rFonts w:ascii="Calibri" w:hAnsi="Calibri" w:cs="Calibri"/>
                <w:color w:val="000000"/>
                <w:sz w:val="22"/>
                <w:szCs w:val="22"/>
                <w:lang w:val="de-AT" w:eastAsia="de-AT"/>
              </w:rPr>
              <w:t xml:space="preserve"> GmbH Fruchtsäfte</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101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Biberhaufenweg 65 Liegenschaftsverwertung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102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Bauwerk WB 60 Projektbau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103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Hotel Kitzspitz </w:t>
            </w:r>
            <w:proofErr w:type="spellStart"/>
            <w:r w:rsidRPr="00093193">
              <w:rPr>
                <w:rFonts w:ascii="Calibri" w:hAnsi="Calibri" w:cs="Calibri"/>
                <w:color w:val="000000"/>
                <w:sz w:val="22"/>
                <w:szCs w:val="22"/>
                <w:lang w:val="de-AT" w:eastAsia="de-AT"/>
              </w:rPr>
              <w:t>Gmbh</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hogast</w:t>
            </w:r>
            <w:proofErr w:type="spellEnd"/>
            <w:r w:rsidRPr="00093193">
              <w:rPr>
                <w:rFonts w:ascii="Calibri" w:hAnsi="Calibri" w:cs="Calibri"/>
                <w:color w:val="000000"/>
                <w:sz w:val="22"/>
                <w:szCs w:val="22"/>
                <w:lang w:val="de-AT" w:eastAsia="de-AT"/>
              </w:rPr>
              <w:t xml:space="preserve"> Einkaufsgen.</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104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Stubalm</w:t>
            </w:r>
            <w:proofErr w:type="spellEnd"/>
            <w:r w:rsidRPr="00093193">
              <w:rPr>
                <w:rFonts w:ascii="Calibri" w:hAnsi="Calibri" w:cs="Calibri"/>
                <w:color w:val="000000"/>
                <w:sz w:val="22"/>
                <w:szCs w:val="22"/>
                <w:lang w:val="de-AT" w:eastAsia="de-AT"/>
              </w:rPr>
              <w:t xml:space="preserve"> Windpark </w:t>
            </w:r>
            <w:proofErr w:type="spellStart"/>
            <w:r w:rsidRPr="00093193">
              <w:rPr>
                <w:rFonts w:ascii="Calibri" w:hAnsi="Calibri" w:cs="Calibri"/>
                <w:color w:val="000000"/>
                <w:sz w:val="22"/>
                <w:szCs w:val="22"/>
                <w:lang w:val="de-AT" w:eastAsia="de-AT"/>
              </w:rPr>
              <w:t>Penz</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105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goood</w:t>
            </w:r>
            <w:proofErr w:type="spellEnd"/>
            <w:r w:rsidRPr="00093193">
              <w:rPr>
                <w:rFonts w:ascii="Calibri" w:hAnsi="Calibri" w:cs="Calibri"/>
                <w:color w:val="000000"/>
                <w:sz w:val="22"/>
                <w:szCs w:val="22"/>
                <w:lang w:val="de-AT" w:eastAsia="de-AT"/>
              </w:rPr>
              <w:t xml:space="preserve"> Network Holding AG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106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HeartBalance</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Innovations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107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Melt</w:t>
            </w:r>
            <w:proofErr w:type="spellEnd"/>
            <w:r w:rsidRPr="00093193">
              <w:rPr>
                <w:rFonts w:ascii="Calibri" w:hAnsi="Calibri" w:cs="Calibri"/>
                <w:color w:val="000000"/>
                <w:sz w:val="22"/>
                <w:szCs w:val="22"/>
                <w:lang w:val="de-AT" w:eastAsia="de-AT"/>
              </w:rPr>
              <w:t xml:space="preserve"> Sports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108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Natur Briketts Hameln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109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open-</w:t>
            </w:r>
            <w:proofErr w:type="spellStart"/>
            <w:r w:rsidRPr="00093193">
              <w:rPr>
                <w:rFonts w:ascii="Calibri" w:hAnsi="Calibri" w:cs="Calibri"/>
                <w:color w:val="000000"/>
                <w:sz w:val="22"/>
                <w:szCs w:val="22"/>
                <w:lang w:val="de-AT" w:eastAsia="de-AT"/>
              </w:rPr>
              <w:t>energy</w:t>
            </w:r>
            <w:proofErr w:type="spellEnd"/>
            <w:r w:rsidRPr="00093193">
              <w:rPr>
                <w:rFonts w:ascii="Calibri" w:hAnsi="Calibri" w:cs="Calibri"/>
                <w:color w:val="000000"/>
                <w:sz w:val="22"/>
                <w:szCs w:val="22"/>
                <w:lang w:val="de-AT" w:eastAsia="de-AT"/>
              </w:rPr>
              <w:t xml:space="preserve"> AG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110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C&amp;P Bauträger Deutschland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111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LAN51 Projekt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112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Projekterrichtungsgesellschaft Paulusgasse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113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jumptomorrow</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Lion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114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Jucyou</w:t>
            </w:r>
            <w:proofErr w:type="spellEnd"/>
            <w:r w:rsidRPr="00093193">
              <w:rPr>
                <w:rFonts w:ascii="Calibri" w:hAnsi="Calibri" w:cs="Calibri"/>
                <w:color w:val="000000"/>
                <w:sz w:val="22"/>
                <w:szCs w:val="22"/>
                <w:lang w:val="de-AT" w:eastAsia="de-AT"/>
              </w:rPr>
              <w:t xml:space="preserve"> Handelsgesellschaft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Lion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115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Tischlerei Stadler</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Lion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116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OGET </w:t>
            </w:r>
            <w:proofErr w:type="spellStart"/>
            <w:r w:rsidRPr="00093193">
              <w:rPr>
                <w:rFonts w:ascii="Calibri" w:hAnsi="Calibri" w:cs="Calibri"/>
                <w:color w:val="000000"/>
                <w:sz w:val="22"/>
                <w:szCs w:val="22"/>
                <w:lang w:val="de-AT" w:eastAsia="de-AT"/>
              </w:rPr>
              <w:t>Innovations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Lion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117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ERE European Real </w:t>
            </w:r>
            <w:proofErr w:type="spellStart"/>
            <w:r w:rsidRPr="00093193">
              <w:rPr>
                <w:rFonts w:ascii="Calibri" w:hAnsi="Calibri" w:cs="Calibri"/>
                <w:color w:val="000000"/>
                <w:sz w:val="22"/>
                <w:szCs w:val="22"/>
                <w:lang w:val="de-AT" w:eastAsia="de-AT"/>
              </w:rPr>
              <w:t>Estates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WM Mayerhofer</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118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PV Plus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WM Mayerhofer</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119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Nisselgasse</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Bewirtschaftungs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reval</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120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fortuna</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Bauerrichtungs.ges.m.b.H</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reval</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121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Bauwerk WB 60 Projektbau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122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Forstnig</w:t>
            </w:r>
            <w:proofErr w:type="spellEnd"/>
            <w:r w:rsidRPr="00093193">
              <w:rPr>
                <w:rFonts w:ascii="Calibri" w:hAnsi="Calibri" w:cs="Calibri"/>
                <w:color w:val="000000"/>
                <w:sz w:val="22"/>
                <w:szCs w:val="22"/>
                <w:lang w:val="de-AT" w:eastAsia="de-AT"/>
              </w:rPr>
              <w:t xml:space="preserve"> Betriebs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123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Stefan Wimmer</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innovation</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124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bkk</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hotel</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errichtungs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125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Neun Weine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126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Energieversorger Deutsche </w:t>
            </w:r>
            <w:proofErr w:type="spellStart"/>
            <w:r w:rsidRPr="00093193">
              <w:rPr>
                <w:rFonts w:ascii="Calibri" w:hAnsi="Calibri" w:cs="Calibri"/>
                <w:color w:val="000000"/>
                <w:sz w:val="22"/>
                <w:szCs w:val="22"/>
                <w:lang w:val="de-AT" w:eastAsia="de-AT"/>
              </w:rPr>
              <w:t>BürgerEnergie</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127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Franz Völker Gasse 3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128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Alphacenter Investitions-, Beteiligungs- und Marketinggesellschaft </w:t>
            </w:r>
            <w:proofErr w:type="spellStart"/>
            <w:r w:rsidRPr="00093193">
              <w:rPr>
                <w:rFonts w:ascii="Calibri" w:hAnsi="Calibri" w:cs="Calibri"/>
                <w:color w:val="000000"/>
                <w:sz w:val="22"/>
                <w:szCs w:val="22"/>
                <w:lang w:val="de-AT" w:eastAsia="de-AT"/>
              </w:rPr>
              <w:t>m.B.H</w:t>
            </w:r>
            <w:proofErr w:type="spellEnd"/>
            <w:r w:rsidRPr="00093193">
              <w:rPr>
                <w:rFonts w:ascii="Calibri" w:hAnsi="Calibri" w:cs="Calibri"/>
                <w:color w:val="000000"/>
                <w:sz w:val="22"/>
                <w:szCs w:val="22"/>
                <w:lang w:val="de-AT" w:eastAsia="de-AT"/>
              </w:rPr>
              <w:t>.</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129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Prime Real Immobilienmanagement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130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Biogena</w:t>
            </w:r>
            <w:proofErr w:type="spellEnd"/>
            <w:r w:rsidRPr="00093193">
              <w:rPr>
                <w:rFonts w:ascii="Calibri" w:hAnsi="Calibri" w:cs="Calibri"/>
                <w:color w:val="000000"/>
                <w:sz w:val="22"/>
                <w:szCs w:val="22"/>
                <w:lang w:val="de-AT" w:eastAsia="de-AT"/>
              </w:rPr>
              <w:t xml:space="preserve"> Naturprodukte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131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viRa</w:t>
            </w:r>
            <w:proofErr w:type="spellEnd"/>
            <w:r w:rsidRPr="00093193">
              <w:rPr>
                <w:rFonts w:ascii="Calibri" w:hAnsi="Calibri" w:cs="Calibri"/>
                <w:color w:val="000000"/>
                <w:sz w:val="22"/>
                <w:szCs w:val="22"/>
                <w:lang w:val="de-AT" w:eastAsia="de-AT"/>
              </w:rPr>
              <w:t xml:space="preserve"> Technologies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132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Vastok</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svetovanje</w:t>
            </w:r>
            <w:proofErr w:type="spellEnd"/>
            <w:r w:rsidRPr="00093193">
              <w:rPr>
                <w:rFonts w:ascii="Calibri" w:hAnsi="Calibri" w:cs="Calibri"/>
                <w:color w:val="000000"/>
                <w:sz w:val="22"/>
                <w:szCs w:val="22"/>
                <w:lang w:val="de-AT" w:eastAsia="de-AT"/>
              </w:rPr>
              <w:t xml:space="preserve"> in </w:t>
            </w:r>
            <w:proofErr w:type="spellStart"/>
            <w:r w:rsidRPr="00093193">
              <w:rPr>
                <w:rFonts w:ascii="Calibri" w:hAnsi="Calibri" w:cs="Calibri"/>
                <w:color w:val="000000"/>
                <w:sz w:val="22"/>
                <w:szCs w:val="22"/>
                <w:lang w:val="de-AT" w:eastAsia="de-AT"/>
              </w:rPr>
              <w:t>investiranje</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d.o.o</w:t>
            </w:r>
            <w:proofErr w:type="spellEnd"/>
            <w:r w:rsidRPr="00093193">
              <w:rPr>
                <w:rFonts w:ascii="Calibri" w:hAnsi="Calibri" w:cs="Calibri"/>
                <w:color w:val="000000"/>
                <w:sz w:val="22"/>
                <w:szCs w:val="22"/>
                <w:lang w:val="de-AT" w:eastAsia="de-AT"/>
              </w:rPr>
              <w:t>.</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lastRenderedPageBreak/>
              <w:t>133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Reprotex</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134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LCT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135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Unser Kraftwerk UK-Naturstrom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crowd4energy</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136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Strasser Steine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137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Samina</w:t>
            </w:r>
            <w:proofErr w:type="spellEnd"/>
            <w:r w:rsidRPr="00093193">
              <w:rPr>
                <w:rFonts w:ascii="Calibri" w:hAnsi="Calibri" w:cs="Calibri"/>
                <w:color w:val="000000"/>
                <w:sz w:val="22"/>
                <w:szCs w:val="22"/>
                <w:lang w:val="de-AT" w:eastAsia="de-AT"/>
              </w:rPr>
              <w:t xml:space="preserve"> Produktions- Und Handels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138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Risus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139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Orbix</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140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AMSA Austrian Management Shooting </w:t>
            </w:r>
            <w:proofErr w:type="spellStart"/>
            <w:r w:rsidRPr="00093193">
              <w:rPr>
                <w:rFonts w:ascii="Calibri" w:hAnsi="Calibri" w:cs="Calibri"/>
                <w:color w:val="000000"/>
                <w:sz w:val="22"/>
                <w:szCs w:val="22"/>
                <w:lang w:val="de-AT" w:eastAsia="de-AT"/>
              </w:rPr>
              <w:t>Association</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141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Pack'nlog</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142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evercrowd</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143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RP Projektentwicklung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reval</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144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Soccerzone</w:t>
            </w:r>
            <w:proofErr w:type="spellEnd"/>
            <w:r w:rsidRPr="00093193">
              <w:rPr>
                <w:rFonts w:ascii="Calibri" w:hAnsi="Calibri" w:cs="Calibri"/>
                <w:color w:val="000000"/>
                <w:sz w:val="22"/>
                <w:szCs w:val="22"/>
                <w:lang w:val="de-AT" w:eastAsia="de-AT"/>
              </w:rPr>
              <w:t xml:space="preserve"> Villach-</w:t>
            </w:r>
            <w:proofErr w:type="spellStart"/>
            <w:r w:rsidRPr="00093193">
              <w:rPr>
                <w:rFonts w:ascii="Calibri" w:hAnsi="Calibri" w:cs="Calibri"/>
                <w:color w:val="000000"/>
                <w:sz w:val="22"/>
                <w:szCs w:val="22"/>
                <w:lang w:val="de-AT" w:eastAsia="de-AT"/>
              </w:rPr>
              <w:t>Faakersee</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evercrowd</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145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Wohnpark Bauträger W.B.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146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Flugfeldstraße 17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147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ND11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148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increstment</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Gmbh</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increstment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149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IS </w:t>
            </w:r>
            <w:proofErr w:type="spellStart"/>
            <w:r w:rsidRPr="00093193">
              <w:rPr>
                <w:rFonts w:ascii="Calibri" w:hAnsi="Calibri" w:cs="Calibri"/>
                <w:color w:val="000000"/>
                <w:sz w:val="22"/>
                <w:szCs w:val="22"/>
                <w:lang w:val="de-AT" w:eastAsia="de-AT"/>
              </w:rPr>
              <w:t>Windobona</w:t>
            </w:r>
            <w:proofErr w:type="spellEnd"/>
            <w:r w:rsidRPr="00093193">
              <w:rPr>
                <w:rFonts w:ascii="Calibri" w:hAnsi="Calibri" w:cs="Calibri"/>
                <w:color w:val="000000"/>
                <w:sz w:val="22"/>
                <w:szCs w:val="22"/>
                <w:lang w:val="de-AT" w:eastAsia="de-AT"/>
              </w:rPr>
              <w:t xml:space="preserve"> Vienna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innovation</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150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SYCUBE Informationstechnologie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151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Lemberona</w:t>
            </w:r>
            <w:proofErr w:type="spellEnd"/>
            <w:r w:rsidRPr="00093193">
              <w:rPr>
                <w:rFonts w:ascii="Calibri" w:hAnsi="Calibri" w:cs="Calibri"/>
                <w:color w:val="000000"/>
                <w:sz w:val="22"/>
                <w:szCs w:val="22"/>
                <w:lang w:val="de-AT" w:eastAsia="de-AT"/>
              </w:rPr>
              <w:t xml:space="preserve"> Handels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152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Polytechnik Luft- und Feuerungstechnik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153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Dürnberg</w:t>
            </w:r>
            <w:proofErr w:type="spellEnd"/>
            <w:r w:rsidRPr="00093193">
              <w:rPr>
                <w:rFonts w:ascii="Calibri" w:hAnsi="Calibri" w:cs="Calibri"/>
                <w:color w:val="000000"/>
                <w:sz w:val="22"/>
                <w:szCs w:val="22"/>
                <w:lang w:val="de-AT" w:eastAsia="de-AT"/>
              </w:rPr>
              <w:t xml:space="preserve"> Fine </w:t>
            </w:r>
            <w:proofErr w:type="spellStart"/>
            <w:r w:rsidRPr="00093193">
              <w:rPr>
                <w:rFonts w:ascii="Calibri" w:hAnsi="Calibri" w:cs="Calibri"/>
                <w:color w:val="000000"/>
                <w:sz w:val="22"/>
                <w:szCs w:val="22"/>
                <w:lang w:val="de-AT" w:eastAsia="de-AT"/>
              </w:rPr>
              <w:t>Wine</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innovation</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154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lieferschotte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155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bauMA</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estate</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reval</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156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AIDA Werbung und Marketing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157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Dr. Thomas Achs</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158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I.R.V. </w:t>
            </w:r>
            <w:proofErr w:type="spellStart"/>
            <w:r w:rsidRPr="00093193">
              <w:rPr>
                <w:rFonts w:ascii="Calibri" w:hAnsi="Calibri" w:cs="Calibri"/>
                <w:color w:val="000000"/>
                <w:sz w:val="22"/>
                <w:szCs w:val="22"/>
                <w:lang w:val="de-AT" w:eastAsia="de-AT"/>
              </w:rPr>
              <w:t>Investicije</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Razvoj</w:t>
            </w:r>
            <w:proofErr w:type="spellEnd"/>
            <w:r w:rsidRPr="00093193">
              <w:rPr>
                <w:rFonts w:ascii="Calibri" w:hAnsi="Calibri" w:cs="Calibri"/>
                <w:color w:val="000000"/>
                <w:sz w:val="22"/>
                <w:szCs w:val="22"/>
                <w:lang w:val="de-AT" w:eastAsia="de-AT"/>
              </w:rPr>
              <w:t xml:space="preserve"> in </w:t>
            </w:r>
            <w:proofErr w:type="spellStart"/>
            <w:r w:rsidRPr="00093193">
              <w:rPr>
                <w:rFonts w:ascii="Calibri" w:hAnsi="Calibri" w:cs="Calibri"/>
                <w:color w:val="000000"/>
                <w:sz w:val="22"/>
                <w:szCs w:val="22"/>
                <w:lang w:val="de-AT" w:eastAsia="de-AT"/>
              </w:rPr>
              <w:t>Vodenje</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d.o.o</w:t>
            </w:r>
            <w:proofErr w:type="spellEnd"/>
            <w:r w:rsidRPr="00093193">
              <w:rPr>
                <w:rFonts w:ascii="Calibri" w:hAnsi="Calibri" w:cs="Calibri"/>
                <w:color w:val="000000"/>
                <w:sz w:val="22"/>
                <w:szCs w:val="22"/>
                <w:lang w:val="de-AT" w:eastAsia="de-AT"/>
              </w:rPr>
              <w:t>.</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159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Greenstorm</w:t>
            </w:r>
            <w:proofErr w:type="spellEnd"/>
            <w:r w:rsidRPr="00093193">
              <w:rPr>
                <w:rFonts w:ascii="Calibri" w:hAnsi="Calibri" w:cs="Calibri"/>
                <w:color w:val="000000"/>
                <w:sz w:val="22"/>
                <w:szCs w:val="22"/>
                <w:lang w:val="de-AT" w:eastAsia="de-AT"/>
              </w:rPr>
              <w:t xml:space="preserve"> Mobility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160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coolgiants</w:t>
            </w:r>
            <w:proofErr w:type="spellEnd"/>
            <w:r w:rsidRPr="00093193">
              <w:rPr>
                <w:rFonts w:ascii="Calibri" w:hAnsi="Calibri" w:cs="Calibri"/>
                <w:color w:val="000000"/>
                <w:sz w:val="22"/>
                <w:szCs w:val="22"/>
                <w:lang w:val="de-AT" w:eastAsia="de-AT"/>
              </w:rPr>
              <w:t xml:space="preserve"> AG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161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Gabriele </w:t>
            </w:r>
            <w:proofErr w:type="spellStart"/>
            <w:r w:rsidRPr="00093193">
              <w:rPr>
                <w:rFonts w:ascii="Calibri" w:hAnsi="Calibri" w:cs="Calibri"/>
                <w:color w:val="000000"/>
                <w:sz w:val="22"/>
                <w:szCs w:val="22"/>
                <w:lang w:val="de-AT" w:eastAsia="de-AT"/>
              </w:rPr>
              <w:t>Iazzetta</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162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Bladescape</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Airborne</w:t>
            </w:r>
            <w:proofErr w:type="spellEnd"/>
            <w:r w:rsidRPr="00093193">
              <w:rPr>
                <w:rFonts w:ascii="Calibri" w:hAnsi="Calibri" w:cs="Calibri"/>
                <w:color w:val="000000"/>
                <w:sz w:val="22"/>
                <w:szCs w:val="22"/>
                <w:lang w:val="de-AT" w:eastAsia="de-AT"/>
              </w:rPr>
              <w:t xml:space="preserve"> Services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dasErtragReich</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163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FMTG </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164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Peter Pilz und Partner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165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Haring</w:t>
            </w:r>
            <w:proofErr w:type="spellEnd"/>
            <w:r w:rsidRPr="00093193">
              <w:rPr>
                <w:rFonts w:ascii="Calibri" w:hAnsi="Calibri" w:cs="Calibri"/>
                <w:color w:val="000000"/>
                <w:sz w:val="22"/>
                <w:szCs w:val="22"/>
                <w:lang w:val="de-AT" w:eastAsia="de-AT"/>
              </w:rPr>
              <w:t xml:space="preserve"> Group Bauträger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166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ece</w:t>
            </w:r>
            <w:proofErr w:type="spellEnd"/>
            <w:r w:rsidRPr="00093193">
              <w:rPr>
                <w:rFonts w:ascii="Calibri" w:hAnsi="Calibri" w:cs="Calibri"/>
                <w:color w:val="000000"/>
                <w:sz w:val="22"/>
                <w:szCs w:val="22"/>
                <w:lang w:val="de-AT" w:eastAsia="de-AT"/>
              </w:rPr>
              <w:t xml:space="preserve"> Einkaufs-Centrum </w:t>
            </w:r>
            <w:proofErr w:type="spellStart"/>
            <w:r w:rsidRPr="00093193">
              <w:rPr>
                <w:rFonts w:ascii="Calibri" w:hAnsi="Calibri" w:cs="Calibri"/>
                <w:color w:val="000000"/>
                <w:sz w:val="22"/>
                <w:szCs w:val="22"/>
                <w:lang w:val="de-AT" w:eastAsia="de-AT"/>
              </w:rPr>
              <w:t>Kapfenberg</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167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eyemaxx</w:t>
            </w:r>
            <w:proofErr w:type="spellEnd"/>
            <w:r w:rsidRPr="00093193">
              <w:rPr>
                <w:rFonts w:ascii="Calibri" w:hAnsi="Calibri" w:cs="Calibri"/>
                <w:color w:val="000000"/>
                <w:sz w:val="22"/>
                <w:szCs w:val="22"/>
                <w:lang w:val="de-AT" w:eastAsia="de-AT"/>
              </w:rPr>
              <w:t xml:space="preserve"> Petersbach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168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Bauabschnitt 03 Quartier </w:t>
            </w:r>
            <w:proofErr w:type="spellStart"/>
            <w:r w:rsidRPr="00093193">
              <w:rPr>
                <w:rFonts w:ascii="Calibri" w:hAnsi="Calibri" w:cs="Calibri"/>
                <w:color w:val="000000"/>
                <w:sz w:val="22"/>
                <w:szCs w:val="22"/>
                <w:lang w:val="de-AT" w:eastAsia="de-AT"/>
              </w:rPr>
              <w:t>Grillweg</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169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Genia Bauträger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170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Hafida</w:t>
            </w:r>
            <w:proofErr w:type="spellEnd"/>
            <w:r w:rsidRPr="00093193">
              <w:rPr>
                <w:rFonts w:ascii="Calibri" w:hAnsi="Calibri" w:cs="Calibri"/>
                <w:color w:val="000000"/>
                <w:sz w:val="22"/>
                <w:szCs w:val="22"/>
                <w:lang w:val="de-AT" w:eastAsia="de-AT"/>
              </w:rPr>
              <w:t xml:space="preserve"> Bauträger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171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Conversio</w:t>
            </w:r>
            <w:proofErr w:type="spellEnd"/>
            <w:r w:rsidRPr="00093193">
              <w:rPr>
                <w:rFonts w:ascii="Calibri" w:hAnsi="Calibri" w:cs="Calibri"/>
                <w:color w:val="000000"/>
                <w:sz w:val="22"/>
                <w:szCs w:val="22"/>
                <w:lang w:val="de-AT" w:eastAsia="de-AT"/>
              </w:rPr>
              <w:t xml:space="preserve"> 1. </w:t>
            </w:r>
            <w:proofErr w:type="spellStart"/>
            <w:r w:rsidRPr="00093193">
              <w:rPr>
                <w:rFonts w:ascii="Calibri" w:hAnsi="Calibri" w:cs="Calibri"/>
                <w:color w:val="000000"/>
                <w:sz w:val="22"/>
                <w:szCs w:val="22"/>
                <w:lang w:val="de-AT" w:eastAsia="de-AT"/>
              </w:rPr>
              <w:t>Immobilienprojektentwicklungs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172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Kutschkergasse</w:t>
            </w:r>
            <w:proofErr w:type="spellEnd"/>
            <w:r w:rsidRPr="00093193">
              <w:rPr>
                <w:rFonts w:ascii="Calibri" w:hAnsi="Calibri" w:cs="Calibri"/>
                <w:color w:val="000000"/>
                <w:sz w:val="22"/>
                <w:szCs w:val="22"/>
                <w:lang w:val="de-AT" w:eastAsia="de-AT"/>
              </w:rPr>
              <w:t xml:space="preserve"> 20 </w:t>
            </w:r>
            <w:proofErr w:type="spellStart"/>
            <w:r w:rsidRPr="00093193">
              <w:rPr>
                <w:rFonts w:ascii="Calibri" w:hAnsi="Calibri" w:cs="Calibri"/>
                <w:color w:val="000000"/>
                <w:sz w:val="22"/>
                <w:szCs w:val="22"/>
                <w:lang w:val="de-AT" w:eastAsia="de-AT"/>
              </w:rPr>
              <w:t>Liegenschaftsentwicklugns</w:t>
            </w:r>
            <w:proofErr w:type="spellEnd"/>
            <w:r w:rsidRPr="00093193">
              <w:rPr>
                <w:rFonts w:ascii="Calibri" w:hAnsi="Calibri" w:cs="Calibri"/>
                <w:color w:val="000000"/>
                <w:sz w:val="22"/>
                <w:szCs w:val="22"/>
                <w:lang w:val="de-AT" w:eastAsia="de-AT"/>
              </w:rPr>
              <w:t>- und -</w:t>
            </w:r>
            <w:proofErr w:type="spellStart"/>
            <w:r w:rsidRPr="00093193">
              <w:rPr>
                <w:rFonts w:ascii="Calibri" w:hAnsi="Calibri" w:cs="Calibri"/>
                <w:color w:val="000000"/>
                <w:sz w:val="22"/>
                <w:szCs w:val="22"/>
                <w:lang w:val="de-AT" w:eastAsia="de-AT"/>
              </w:rPr>
              <w:t>verwertungs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Home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173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Breddys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174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Eat</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the</w:t>
            </w:r>
            <w:proofErr w:type="spellEnd"/>
            <w:r w:rsidRPr="00093193">
              <w:rPr>
                <w:rFonts w:ascii="Calibri" w:hAnsi="Calibri" w:cs="Calibri"/>
                <w:color w:val="000000"/>
                <w:sz w:val="22"/>
                <w:szCs w:val="22"/>
                <w:lang w:val="de-AT" w:eastAsia="de-AT"/>
              </w:rPr>
              <w:t xml:space="preserve"> Ball Vertrieb Österreich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175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Envidatec</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176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Exytron</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177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Flecks Steirerbier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178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Adler Heimtier Nahrung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lastRenderedPageBreak/>
              <w:t>179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Megasus</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Horsetech</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180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Mycoplasma</w:t>
            </w:r>
            <w:proofErr w:type="spellEnd"/>
            <w:r w:rsidRPr="00093193">
              <w:rPr>
                <w:rFonts w:ascii="Calibri" w:hAnsi="Calibri" w:cs="Calibri"/>
                <w:color w:val="000000"/>
                <w:sz w:val="22"/>
                <w:szCs w:val="22"/>
                <w:lang w:val="de-AT" w:eastAsia="de-AT"/>
              </w:rPr>
              <w:t xml:space="preserve"> </w:t>
            </w:r>
            <w:proofErr w:type="spellStart"/>
            <w:r w:rsidRPr="00093193">
              <w:rPr>
                <w:rFonts w:ascii="Calibri" w:hAnsi="Calibri" w:cs="Calibri"/>
                <w:color w:val="000000"/>
                <w:sz w:val="22"/>
                <w:szCs w:val="22"/>
                <w:lang w:val="de-AT" w:eastAsia="de-AT"/>
              </w:rPr>
              <w:t>Biosafety</w:t>
            </w:r>
            <w:proofErr w:type="spellEnd"/>
            <w:r w:rsidRPr="00093193">
              <w:rPr>
                <w:rFonts w:ascii="Calibri" w:hAnsi="Calibri" w:cs="Calibri"/>
                <w:color w:val="000000"/>
                <w:sz w:val="22"/>
                <w:szCs w:val="22"/>
                <w:lang w:val="de-AT" w:eastAsia="de-AT"/>
              </w:rPr>
              <w:t xml:space="preserve"> Services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181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Sonnenerde Gerald Dunst Kulturerden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Green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182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US-Cars </w:t>
            </w:r>
            <w:proofErr w:type="spellStart"/>
            <w:r w:rsidRPr="00093193">
              <w:rPr>
                <w:rFonts w:ascii="Calibri" w:hAnsi="Calibri" w:cs="Calibri"/>
                <w:color w:val="000000"/>
                <w:sz w:val="22"/>
                <w:szCs w:val="22"/>
                <w:lang w:val="de-AT" w:eastAsia="de-AT"/>
              </w:rPr>
              <w:t>Peicher</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Lion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183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Schirnhofer</w:t>
            </w:r>
            <w:proofErr w:type="spellEnd"/>
            <w:r w:rsidRPr="00093193">
              <w:rPr>
                <w:rFonts w:ascii="Calibri" w:hAnsi="Calibri" w:cs="Calibri"/>
                <w:color w:val="000000"/>
                <w:sz w:val="22"/>
                <w:szCs w:val="22"/>
                <w:lang w:val="de-AT" w:eastAsia="de-AT"/>
              </w:rPr>
              <w:t xml:space="preserve"> Gesellsaft 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Lion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184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CNSystems</w:t>
            </w:r>
            <w:proofErr w:type="spellEnd"/>
            <w:r w:rsidRPr="00093193">
              <w:rPr>
                <w:rFonts w:ascii="Calibri" w:hAnsi="Calibri" w:cs="Calibri"/>
                <w:color w:val="000000"/>
                <w:sz w:val="22"/>
                <w:szCs w:val="22"/>
                <w:lang w:val="de-AT" w:eastAsia="de-AT"/>
              </w:rPr>
              <w:t xml:space="preserve"> Medizintechnik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Lion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185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LGV Gemüse und Obst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Lion Rocket</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186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3Dsimo </w:t>
            </w:r>
            <w:proofErr w:type="spellStart"/>
            <w:r w:rsidRPr="00093193">
              <w:rPr>
                <w:rFonts w:ascii="Calibri" w:hAnsi="Calibri" w:cs="Calibri"/>
                <w:color w:val="000000"/>
                <w:sz w:val="22"/>
                <w:szCs w:val="22"/>
                <w:lang w:val="de-AT" w:eastAsia="de-AT"/>
              </w:rPr>
              <w:t>s.r.o</w:t>
            </w:r>
            <w:proofErr w:type="spellEnd"/>
            <w:r w:rsidRPr="00093193">
              <w:rPr>
                <w:rFonts w:ascii="Calibri" w:hAnsi="Calibri" w:cs="Calibri"/>
                <w:color w:val="000000"/>
                <w:sz w:val="22"/>
                <w:szCs w:val="22"/>
                <w:lang w:val="de-AT" w:eastAsia="de-AT"/>
              </w:rPr>
              <w:t>.</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Danube</w:t>
            </w:r>
            <w:proofErr w:type="spellEnd"/>
            <w:r w:rsidRPr="00093193">
              <w:rPr>
                <w:rFonts w:ascii="Calibri" w:hAnsi="Calibri" w:cs="Calibri"/>
                <w:color w:val="000000"/>
                <w:sz w:val="22"/>
                <w:szCs w:val="22"/>
                <w:lang w:val="de-AT" w:eastAsia="de-AT"/>
              </w:rPr>
              <w:t xml:space="preserve"> Angels</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187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Smart Guide </w:t>
            </w:r>
            <w:proofErr w:type="spellStart"/>
            <w:r w:rsidRPr="00093193">
              <w:rPr>
                <w:rFonts w:ascii="Calibri" w:hAnsi="Calibri" w:cs="Calibri"/>
                <w:color w:val="000000"/>
                <w:sz w:val="22"/>
                <w:szCs w:val="22"/>
                <w:lang w:val="de-AT" w:eastAsia="de-AT"/>
              </w:rPr>
              <w:t>s.r.o</w:t>
            </w:r>
            <w:proofErr w:type="spellEnd"/>
            <w:r w:rsidRPr="00093193">
              <w:rPr>
                <w:rFonts w:ascii="Calibri" w:hAnsi="Calibri" w:cs="Calibri"/>
                <w:color w:val="000000"/>
                <w:sz w:val="22"/>
                <w:szCs w:val="22"/>
                <w:lang w:val="de-AT" w:eastAsia="de-AT"/>
              </w:rPr>
              <w:t>.</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Danube</w:t>
            </w:r>
            <w:proofErr w:type="spellEnd"/>
            <w:r w:rsidRPr="00093193">
              <w:rPr>
                <w:rFonts w:ascii="Calibri" w:hAnsi="Calibri" w:cs="Calibri"/>
                <w:color w:val="000000"/>
                <w:sz w:val="22"/>
                <w:szCs w:val="22"/>
                <w:lang w:val="de-AT" w:eastAsia="de-AT"/>
              </w:rPr>
              <w:t xml:space="preserve"> Angels</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188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Sportgigant </w:t>
            </w:r>
            <w:proofErr w:type="spellStart"/>
            <w:r w:rsidRPr="00093193">
              <w:rPr>
                <w:rFonts w:ascii="Calibri" w:hAnsi="Calibri" w:cs="Calibri"/>
                <w:color w:val="000000"/>
                <w:sz w:val="22"/>
                <w:szCs w:val="22"/>
                <w:lang w:val="de-AT" w:eastAsia="de-AT"/>
              </w:rPr>
              <w:t>Lindpointner</w:t>
            </w:r>
            <w:proofErr w:type="spellEnd"/>
            <w:r w:rsidRPr="00093193">
              <w:rPr>
                <w:rFonts w:ascii="Calibri" w:hAnsi="Calibri" w:cs="Calibri"/>
                <w:color w:val="000000"/>
                <w:sz w:val="22"/>
                <w:szCs w:val="22"/>
                <w:lang w:val="de-AT" w:eastAsia="de-AT"/>
              </w:rPr>
              <w:t xml:space="preserve">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189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RP Projektentwicklung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reval</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190</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Erebos Asset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191</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Enoiko</w:t>
            </w:r>
            <w:proofErr w:type="spellEnd"/>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Enoiko</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192</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Greenhoouse</w:t>
            </w:r>
            <w:proofErr w:type="spellEnd"/>
            <w:r w:rsidRPr="00093193">
              <w:rPr>
                <w:rFonts w:ascii="Calibri" w:hAnsi="Calibri" w:cs="Calibri"/>
                <w:color w:val="000000"/>
                <w:sz w:val="22"/>
                <w:szCs w:val="22"/>
                <w:lang w:val="de-AT" w:eastAsia="de-AT"/>
              </w:rPr>
              <w:t xml:space="preserve"> Wohnanlage Hausmannstätten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dagobertinvest</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193</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CC PV 1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crowd4projects</w:t>
            </w: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194</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Lobsters</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195</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Paul &amp; Ernst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196</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Solarenergie Ulm GmbH &amp; Co KG</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197</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Crypto</w:t>
            </w:r>
            <w:proofErr w:type="spellEnd"/>
            <w:r w:rsidRPr="00093193">
              <w:rPr>
                <w:rFonts w:ascii="Calibri" w:hAnsi="Calibri" w:cs="Calibri"/>
                <w:color w:val="000000"/>
                <w:sz w:val="22"/>
                <w:szCs w:val="22"/>
                <w:lang w:val="de-AT" w:eastAsia="de-AT"/>
              </w:rPr>
              <w:t xml:space="preserve"> Consulting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Conda</w:t>
            </w:r>
            <w:proofErr w:type="spellEnd"/>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198</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FMTG </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
        </w:tc>
      </w:tr>
      <w:tr w:rsidR="00093193" w:rsidRPr="00093193" w:rsidTr="00093193">
        <w:trPr>
          <w:trHeight w:val="300"/>
        </w:trPr>
        <w:tc>
          <w:tcPr>
            <w:tcW w:w="656" w:type="dxa"/>
            <w:tcBorders>
              <w:top w:val="nil"/>
              <w:left w:val="nil"/>
              <w:bottom w:val="nil"/>
              <w:right w:val="nil"/>
            </w:tcBorders>
            <w:shd w:val="clear" w:color="auto" w:fill="auto"/>
            <w:noWrap/>
            <w:vAlign w:val="bottom"/>
            <w:hideMark/>
          </w:tcPr>
          <w:p w:rsidR="00093193" w:rsidRPr="00093193" w:rsidRDefault="00093193" w:rsidP="00093193">
            <w:pPr>
              <w:jc w:val="right"/>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199</w:t>
            </w:r>
          </w:p>
        </w:tc>
        <w:tc>
          <w:tcPr>
            <w:tcW w:w="6570"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r w:rsidRPr="00093193">
              <w:rPr>
                <w:rFonts w:ascii="Calibri" w:hAnsi="Calibri" w:cs="Calibri"/>
                <w:color w:val="000000"/>
                <w:sz w:val="22"/>
                <w:szCs w:val="22"/>
                <w:lang w:val="de-AT" w:eastAsia="de-AT"/>
              </w:rPr>
              <w:t xml:space="preserve">Storck </w:t>
            </w:r>
            <w:proofErr w:type="spellStart"/>
            <w:r w:rsidRPr="00093193">
              <w:rPr>
                <w:rFonts w:ascii="Calibri" w:hAnsi="Calibri" w:cs="Calibri"/>
                <w:color w:val="000000"/>
                <w:sz w:val="22"/>
                <w:szCs w:val="22"/>
                <w:lang w:val="de-AT" w:eastAsia="de-AT"/>
              </w:rPr>
              <w:t>Bicycle</w:t>
            </w:r>
            <w:proofErr w:type="spellEnd"/>
            <w:r w:rsidRPr="00093193">
              <w:rPr>
                <w:rFonts w:ascii="Calibri" w:hAnsi="Calibri" w:cs="Calibri"/>
                <w:color w:val="000000"/>
                <w:sz w:val="22"/>
                <w:szCs w:val="22"/>
                <w:lang w:val="de-AT" w:eastAsia="de-AT"/>
              </w:rPr>
              <w:t xml:space="preserve"> GmbH</w:t>
            </w:r>
          </w:p>
        </w:tc>
        <w:tc>
          <w:tcPr>
            <w:tcW w:w="1782" w:type="dxa"/>
            <w:tcBorders>
              <w:top w:val="nil"/>
              <w:left w:val="nil"/>
              <w:bottom w:val="nil"/>
              <w:right w:val="nil"/>
            </w:tcBorders>
            <w:shd w:val="clear" w:color="auto" w:fill="auto"/>
            <w:noWrap/>
            <w:vAlign w:val="bottom"/>
            <w:hideMark/>
          </w:tcPr>
          <w:p w:rsidR="00093193" w:rsidRPr="00093193" w:rsidRDefault="00093193" w:rsidP="00093193">
            <w:pPr>
              <w:rPr>
                <w:rFonts w:ascii="Calibri" w:hAnsi="Calibri" w:cs="Calibri"/>
                <w:color w:val="000000"/>
                <w:sz w:val="22"/>
                <w:szCs w:val="22"/>
                <w:lang w:val="de-AT" w:eastAsia="de-AT"/>
              </w:rPr>
            </w:pPr>
            <w:proofErr w:type="spellStart"/>
            <w:r w:rsidRPr="00093193">
              <w:rPr>
                <w:rFonts w:ascii="Calibri" w:hAnsi="Calibri" w:cs="Calibri"/>
                <w:color w:val="000000"/>
                <w:sz w:val="22"/>
                <w:szCs w:val="22"/>
                <w:lang w:val="de-AT" w:eastAsia="de-AT"/>
              </w:rPr>
              <w:t>finnest</w:t>
            </w:r>
            <w:proofErr w:type="spellEnd"/>
          </w:p>
        </w:tc>
      </w:tr>
    </w:tbl>
    <w:p w:rsidR="00093193" w:rsidRPr="00093193" w:rsidRDefault="00093193" w:rsidP="00093193"/>
    <w:sectPr w:rsidR="00093193" w:rsidRPr="00093193" w:rsidSect="0034235A">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9BC" w:rsidRDefault="007349BC">
      <w:r>
        <w:separator/>
      </w:r>
    </w:p>
  </w:endnote>
  <w:endnote w:type="continuationSeparator" w:id="0">
    <w:p w:rsidR="007349BC" w:rsidRDefault="0073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9BC" w:rsidRDefault="007349BC" w:rsidP="00CF1053">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7349BC" w:rsidRDefault="007349BC" w:rsidP="00CF1053">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9BC" w:rsidRDefault="007349BC" w:rsidP="00CF1053">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EE4F81">
      <w:rPr>
        <w:rStyle w:val="Seitenzahl"/>
        <w:noProof/>
      </w:rPr>
      <w:t>43</w:t>
    </w:r>
    <w:r>
      <w:rPr>
        <w:rStyle w:val="Seitenzahl"/>
      </w:rPr>
      <w:fldChar w:fldCharType="end"/>
    </w:r>
  </w:p>
  <w:p w:rsidR="007349BC" w:rsidRDefault="007349BC" w:rsidP="00CF1053">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9BC" w:rsidRDefault="007349BC" w:rsidP="00CF1053">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9BC" w:rsidRDefault="007349BC">
      <w:r>
        <w:separator/>
      </w:r>
    </w:p>
  </w:footnote>
  <w:footnote w:type="continuationSeparator" w:id="0">
    <w:p w:rsidR="007349BC" w:rsidRDefault="007349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9BC" w:rsidRDefault="007349BC">
    <w:pPr>
      <w:pStyle w:val="Kopfzeile"/>
      <w:rPr>
        <w:rFonts w:ascii="Univers" w:hAnsi="Univers"/>
      </w:rPr>
    </w:pPr>
    <w:r>
      <w:rPr>
        <w:rFonts w:ascii="Univers" w:hAnsi="Univers"/>
        <w:noProof/>
        <w:lang w:val="de-AT" w:eastAsia="de-AT"/>
      </w:rPr>
      <w:drawing>
        <wp:inline distT="0" distB="0" distL="0" distR="0" wp14:anchorId="3AAE28A4" wp14:editId="4659E8D4">
          <wp:extent cx="445135" cy="429260"/>
          <wp:effectExtent l="0" t="0" r="0" b="8890"/>
          <wp:docPr id="30" name="Bild 30" descr="v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k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135" cy="429260"/>
                  </a:xfrm>
                  <a:prstGeom prst="rect">
                    <a:avLst/>
                  </a:prstGeom>
                  <a:noFill/>
                  <a:ln>
                    <a:noFill/>
                  </a:ln>
                </pic:spPr>
              </pic:pic>
            </a:graphicData>
          </a:graphic>
        </wp:inline>
      </w:drawing>
    </w:r>
  </w:p>
  <w:p w:rsidR="007349BC" w:rsidRDefault="007349B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0BF7"/>
    <w:multiLevelType w:val="hybridMultilevel"/>
    <w:tmpl w:val="57967E5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128132D"/>
    <w:multiLevelType w:val="hybridMultilevel"/>
    <w:tmpl w:val="A684BD7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3C8372B"/>
    <w:multiLevelType w:val="hybridMultilevel"/>
    <w:tmpl w:val="723A9B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B0C79A6"/>
    <w:multiLevelType w:val="hybridMultilevel"/>
    <w:tmpl w:val="6E7E79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0DD55464"/>
    <w:multiLevelType w:val="hybridMultilevel"/>
    <w:tmpl w:val="9924668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12973F2"/>
    <w:multiLevelType w:val="hybridMultilevel"/>
    <w:tmpl w:val="A7AE294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9935181"/>
    <w:multiLevelType w:val="hybridMultilevel"/>
    <w:tmpl w:val="0E7638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00632F8"/>
    <w:multiLevelType w:val="hybridMultilevel"/>
    <w:tmpl w:val="389E68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20336CC0"/>
    <w:multiLevelType w:val="hybridMultilevel"/>
    <w:tmpl w:val="C3147CA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212A73F8"/>
    <w:multiLevelType w:val="hybridMultilevel"/>
    <w:tmpl w:val="8842B9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59C11AB"/>
    <w:multiLevelType w:val="hybridMultilevel"/>
    <w:tmpl w:val="ABBCCA62"/>
    <w:lvl w:ilvl="0" w:tplc="0C070001">
      <w:start w:val="1"/>
      <w:numFmt w:val="bullet"/>
      <w:lvlText w:val=""/>
      <w:lvlJc w:val="left"/>
      <w:pPr>
        <w:ind w:left="720" w:hanging="360"/>
      </w:pPr>
      <w:rPr>
        <w:rFonts w:ascii="Symbol" w:hAnsi="Symbol" w:hint="default"/>
      </w:rPr>
    </w:lvl>
    <w:lvl w:ilvl="1" w:tplc="8B581290">
      <w:numFmt w:val="bullet"/>
      <w:lvlText w:val="-"/>
      <w:lvlJc w:val="left"/>
      <w:pPr>
        <w:ind w:left="1830" w:hanging="750"/>
      </w:pPr>
      <w:rPr>
        <w:rFonts w:ascii="Arial" w:eastAsia="Times New Roman"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8F037DD"/>
    <w:multiLevelType w:val="hybridMultilevel"/>
    <w:tmpl w:val="979CE392"/>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2">
    <w:nsid w:val="2E181DE4"/>
    <w:multiLevelType w:val="hybridMultilevel"/>
    <w:tmpl w:val="EB5814A0"/>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830" w:hanging="75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2E65268A"/>
    <w:multiLevelType w:val="multilevel"/>
    <w:tmpl w:val="D1206DCE"/>
    <w:lvl w:ilvl="0">
      <w:start w:val="1"/>
      <w:numFmt w:val="decimal"/>
      <w:pStyle w:val="1Studie"/>
      <w:lvlText w:val="%1."/>
      <w:lvlJc w:val="left"/>
      <w:pPr>
        <w:tabs>
          <w:tab w:val="num" w:pos="776"/>
        </w:tabs>
        <w:ind w:left="416" w:hanging="360"/>
      </w:pPr>
      <w:rPr>
        <w:rFonts w:hint="default"/>
      </w:rPr>
    </w:lvl>
    <w:lvl w:ilvl="1">
      <w:start w:val="1"/>
      <w:numFmt w:val="decimal"/>
      <w:lvlText w:val="%1.%2."/>
      <w:lvlJc w:val="left"/>
      <w:pPr>
        <w:tabs>
          <w:tab w:val="num" w:pos="1496"/>
        </w:tabs>
        <w:ind w:left="848" w:hanging="432"/>
      </w:pPr>
      <w:rPr>
        <w:rFonts w:hint="default"/>
      </w:rPr>
    </w:lvl>
    <w:lvl w:ilvl="2">
      <w:start w:val="1"/>
      <w:numFmt w:val="decimal"/>
      <w:lvlText w:val="%1.%2.%3."/>
      <w:lvlJc w:val="left"/>
      <w:pPr>
        <w:tabs>
          <w:tab w:val="num" w:pos="2576"/>
        </w:tabs>
        <w:ind w:left="1280" w:hanging="504"/>
      </w:pPr>
      <w:rPr>
        <w:rFonts w:hint="default"/>
      </w:rPr>
    </w:lvl>
    <w:lvl w:ilvl="3">
      <w:start w:val="1"/>
      <w:numFmt w:val="decimal"/>
      <w:lvlText w:val="%1.%2.%3.%4."/>
      <w:lvlJc w:val="left"/>
      <w:pPr>
        <w:tabs>
          <w:tab w:val="num" w:pos="3296"/>
        </w:tabs>
        <w:ind w:left="1784" w:hanging="648"/>
      </w:pPr>
      <w:rPr>
        <w:rFonts w:hint="default"/>
      </w:rPr>
    </w:lvl>
    <w:lvl w:ilvl="4">
      <w:start w:val="1"/>
      <w:numFmt w:val="decimal"/>
      <w:lvlText w:val="%1.%2.%3.%4.%5."/>
      <w:lvlJc w:val="left"/>
      <w:pPr>
        <w:tabs>
          <w:tab w:val="num" w:pos="4376"/>
        </w:tabs>
        <w:ind w:left="2288" w:hanging="792"/>
      </w:pPr>
      <w:rPr>
        <w:rFonts w:hint="default"/>
      </w:rPr>
    </w:lvl>
    <w:lvl w:ilvl="5">
      <w:start w:val="1"/>
      <w:numFmt w:val="decimal"/>
      <w:lvlText w:val="%1.%2.%3.%4.%5.%6."/>
      <w:lvlJc w:val="left"/>
      <w:pPr>
        <w:tabs>
          <w:tab w:val="num" w:pos="5096"/>
        </w:tabs>
        <w:ind w:left="2792" w:hanging="936"/>
      </w:pPr>
      <w:rPr>
        <w:rFonts w:hint="default"/>
      </w:rPr>
    </w:lvl>
    <w:lvl w:ilvl="6">
      <w:start w:val="1"/>
      <w:numFmt w:val="decimal"/>
      <w:lvlText w:val="%1.%2.%3.%4.%5.%6.%7."/>
      <w:lvlJc w:val="left"/>
      <w:pPr>
        <w:tabs>
          <w:tab w:val="num" w:pos="6176"/>
        </w:tabs>
        <w:ind w:left="3296" w:hanging="1080"/>
      </w:pPr>
      <w:rPr>
        <w:rFonts w:hint="default"/>
      </w:rPr>
    </w:lvl>
    <w:lvl w:ilvl="7">
      <w:start w:val="1"/>
      <w:numFmt w:val="decimal"/>
      <w:lvlText w:val="%1.%2.%3.%4.%5.%6.%7.%8."/>
      <w:lvlJc w:val="left"/>
      <w:pPr>
        <w:tabs>
          <w:tab w:val="num" w:pos="6896"/>
        </w:tabs>
        <w:ind w:left="3800" w:hanging="1224"/>
      </w:pPr>
      <w:rPr>
        <w:rFonts w:hint="default"/>
      </w:rPr>
    </w:lvl>
    <w:lvl w:ilvl="8">
      <w:start w:val="1"/>
      <w:numFmt w:val="decimal"/>
      <w:lvlText w:val="%1.%2.%3.%4.%5.%6.%7.%8.%9."/>
      <w:lvlJc w:val="left"/>
      <w:pPr>
        <w:tabs>
          <w:tab w:val="num" w:pos="7976"/>
        </w:tabs>
        <w:ind w:left="4376" w:hanging="1440"/>
      </w:pPr>
      <w:rPr>
        <w:rFonts w:hint="default"/>
      </w:rPr>
    </w:lvl>
  </w:abstractNum>
  <w:abstractNum w:abstractNumId="14">
    <w:nsid w:val="307947C8"/>
    <w:multiLevelType w:val="hybridMultilevel"/>
    <w:tmpl w:val="2EC0C2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30AA2554"/>
    <w:multiLevelType w:val="hybridMultilevel"/>
    <w:tmpl w:val="CF9C20A4"/>
    <w:lvl w:ilvl="0" w:tplc="1C86A5F8">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72A069A"/>
    <w:multiLevelType w:val="hybridMultilevel"/>
    <w:tmpl w:val="C4F207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B183AEF"/>
    <w:multiLevelType w:val="hybridMultilevel"/>
    <w:tmpl w:val="3AC86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3F155B3D"/>
    <w:multiLevelType w:val="multilevel"/>
    <w:tmpl w:val="7F0C8190"/>
    <w:lvl w:ilvl="0">
      <w:start w:val="1"/>
      <w:numFmt w:val="decimal"/>
      <w:lvlText w:val="%1."/>
      <w:lvlJc w:val="left"/>
      <w:pPr>
        <w:tabs>
          <w:tab w:val="num" w:pos="720"/>
        </w:tabs>
        <w:ind w:left="360" w:hanging="360"/>
      </w:pPr>
      <w:rPr>
        <w:rFonts w:hint="default"/>
      </w:rPr>
    </w:lvl>
    <w:lvl w:ilvl="1">
      <w:start w:val="1"/>
      <w:numFmt w:val="decimal"/>
      <w:pStyle w:val="2Studie"/>
      <w:lvlText w:val="%1.%2."/>
      <w:lvlJc w:val="left"/>
      <w:pPr>
        <w:tabs>
          <w:tab w:val="num" w:pos="1440"/>
        </w:tabs>
        <w:ind w:left="792" w:hanging="432"/>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19">
    <w:nsid w:val="3F1D6E7B"/>
    <w:multiLevelType w:val="hybridMultilevel"/>
    <w:tmpl w:val="5832FF00"/>
    <w:lvl w:ilvl="0" w:tplc="0C070001">
      <w:start w:val="1"/>
      <w:numFmt w:val="bullet"/>
      <w:lvlText w:val=""/>
      <w:lvlJc w:val="left"/>
      <w:pPr>
        <w:ind w:left="3600" w:hanging="360"/>
      </w:pPr>
      <w:rPr>
        <w:rFonts w:ascii="Symbol" w:hAnsi="Symbol" w:hint="default"/>
      </w:rPr>
    </w:lvl>
    <w:lvl w:ilvl="1" w:tplc="0C070003" w:tentative="1">
      <w:start w:val="1"/>
      <w:numFmt w:val="bullet"/>
      <w:lvlText w:val="o"/>
      <w:lvlJc w:val="left"/>
      <w:pPr>
        <w:ind w:left="4320" w:hanging="360"/>
      </w:pPr>
      <w:rPr>
        <w:rFonts w:ascii="Courier New" w:hAnsi="Courier New" w:cs="Courier New" w:hint="default"/>
      </w:rPr>
    </w:lvl>
    <w:lvl w:ilvl="2" w:tplc="0C070005" w:tentative="1">
      <w:start w:val="1"/>
      <w:numFmt w:val="bullet"/>
      <w:lvlText w:val=""/>
      <w:lvlJc w:val="left"/>
      <w:pPr>
        <w:ind w:left="5040" w:hanging="360"/>
      </w:pPr>
      <w:rPr>
        <w:rFonts w:ascii="Wingdings" w:hAnsi="Wingdings" w:hint="default"/>
      </w:rPr>
    </w:lvl>
    <w:lvl w:ilvl="3" w:tplc="0C070001" w:tentative="1">
      <w:start w:val="1"/>
      <w:numFmt w:val="bullet"/>
      <w:lvlText w:val=""/>
      <w:lvlJc w:val="left"/>
      <w:pPr>
        <w:ind w:left="5760" w:hanging="360"/>
      </w:pPr>
      <w:rPr>
        <w:rFonts w:ascii="Symbol" w:hAnsi="Symbol" w:hint="default"/>
      </w:rPr>
    </w:lvl>
    <w:lvl w:ilvl="4" w:tplc="0C070003" w:tentative="1">
      <w:start w:val="1"/>
      <w:numFmt w:val="bullet"/>
      <w:lvlText w:val="o"/>
      <w:lvlJc w:val="left"/>
      <w:pPr>
        <w:ind w:left="6480" w:hanging="360"/>
      </w:pPr>
      <w:rPr>
        <w:rFonts w:ascii="Courier New" w:hAnsi="Courier New" w:cs="Courier New" w:hint="default"/>
      </w:rPr>
    </w:lvl>
    <w:lvl w:ilvl="5" w:tplc="0C070005" w:tentative="1">
      <w:start w:val="1"/>
      <w:numFmt w:val="bullet"/>
      <w:lvlText w:val=""/>
      <w:lvlJc w:val="left"/>
      <w:pPr>
        <w:ind w:left="7200" w:hanging="360"/>
      </w:pPr>
      <w:rPr>
        <w:rFonts w:ascii="Wingdings" w:hAnsi="Wingdings" w:hint="default"/>
      </w:rPr>
    </w:lvl>
    <w:lvl w:ilvl="6" w:tplc="0C070001" w:tentative="1">
      <w:start w:val="1"/>
      <w:numFmt w:val="bullet"/>
      <w:lvlText w:val=""/>
      <w:lvlJc w:val="left"/>
      <w:pPr>
        <w:ind w:left="7920" w:hanging="360"/>
      </w:pPr>
      <w:rPr>
        <w:rFonts w:ascii="Symbol" w:hAnsi="Symbol" w:hint="default"/>
      </w:rPr>
    </w:lvl>
    <w:lvl w:ilvl="7" w:tplc="0C070003" w:tentative="1">
      <w:start w:val="1"/>
      <w:numFmt w:val="bullet"/>
      <w:lvlText w:val="o"/>
      <w:lvlJc w:val="left"/>
      <w:pPr>
        <w:ind w:left="8640" w:hanging="360"/>
      </w:pPr>
      <w:rPr>
        <w:rFonts w:ascii="Courier New" w:hAnsi="Courier New" w:cs="Courier New" w:hint="default"/>
      </w:rPr>
    </w:lvl>
    <w:lvl w:ilvl="8" w:tplc="0C070005" w:tentative="1">
      <w:start w:val="1"/>
      <w:numFmt w:val="bullet"/>
      <w:lvlText w:val=""/>
      <w:lvlJc w:val="left"/>
      <w:pPr>
        <w:ind w:left="9360" w:hanging="360"/>
      </w:pPr>
      <w:rPr>
        <w:rFonts w:ascii="Wingdings" w:hAnsi="Wingdings" w:hint="default"/>
      </w:rPr>
    </w:lvl>
  </w:abstractNum>
  <w:abstractNum w:abstractNumId="20">
    <w:nsid w:val="3FE5722D"/>
    <w:multiLevelType w:val="hybridMultilevel"/>
    <w:tmpl w:val="0F64E5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408D2A41"/>
    <w:multiLevelType w:val="hybridMultilevel"/>
    <w:tmpl w:val="4F9803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430C742A"/>
    <w:multiLevelType w:val="hybridMultilevel"/>
    <w:tmpl w:val="95C405C8"/>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3">
    <w:nsid w:val="47913EBC"/>
    <w:multiLevelType w:val="multilevel"/>
    <w:tmpl w:val="9B2ED106"/>
    <w:lvl w:ilvl="0">
      <w:start w:val="1"/>
      <w:numFmt w:val="decimal"/>
      <w:lvlText w:val="%1"/>
      <w:lvlJc w:val="left"/>
      <w:pPr>
        <w:tabs>
          <w:tab w:val="num" w:pos="0"/>
        </w:tabs>
        <w:ind w:left="284" w:hanging="284"/>
      </w:pPr>
      <w:rPr>
        <w:rFonts w:hint="default"/>
      </w:rPr>
    </w:lvl>
    <w:lvl w:ilvl="1">
      <w:start w:val="1"/>
      <w:numFmt w:val="decimal"/>
      <w:lvlText w:val="%1.%2"/>
      <w:lvlJc w:val="left"/>
      <w:pPr>
        <w:tabs>
          <w:tab w:val="num" w:pos="0"/>
        </w:tabs>
        <w:ind w:left="0" w:firstLine="0"/>
      </w:pPr>
      <w:rPr>
        <w:rFonts w:hint="default"/>
      </w:rPr>
    </w:lvl>
    <w:lvl w:ilvl="2">
      <w:start w:val="1"/>
      <w:numFmt w:val="decimal"/>
      <w:isLgl/>
      <w:lvlText w:val="%2.%1.%3"/>
      <w:lvlJc w:val="left"/>
      <w:pPr>
        <w:tabs>
          <w:tab w:val="num" w:pos="0"/>
        </w:tabs>
        <w:ind w:left="0" w:firstLine="0"/>
      </w:pPr>
      <w:rPr>
        <w:rFonts w:hint="default"/>
      </w:rPr>
    </w:lvl>
    <w:lvl w:ilvl="3">
      <w:start w:val="1"/>
      <w:numFmt w:val="none"/>
      <w:pStyle w:val="4Studie"/>
      <w:lvlText w:val="%3.%2.%1"/>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C232497"/>
    <w:multiLevelType w:val="hybridMultilevel"/>
    <w:tmpl w:val="FB0CC5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54296507"/>
    <w:multiLevelType w:val="hybridMultilevel"/>
    <w:tmpl w:val="23969478"/>
    <w:lvl w:ilvl="0" w:tplc="0C070001">
      <w:start w:val="1"/>
      <w:numFmt w:val="bullet"/>
      <w:lvlText w:val=""/>
      <w:lvlJc w:val="left"/>
      <w:pPr>
        <w:ind w:left="3600" w:hanging="360"/>
      </w:pPr>
      <w:rPr>
        <w:rFonts w:ascii="Symbol" w:hAnsi="Symbol" w:hint="default"/>
      </w:rPr>
    </w:lvl>
    <w:lvl w:ilvl="1" w:tplc="0C070003" w:tentative="1">
      <w:start w:val="1"/>
      <w:numFmt w:val="bullet"/>
      <w:lvlText w:val="o"/>
      <w:lvlJc w:val="left"/>
      <w:pPr>
        <w:ind w:left="4320" w:hanging="360"/>
      </w:pPr>
      <w:rPr>
        <w:rFonts w:ascii="Courier New" w:hAnsi="Courier New" w:cs="Courier New" w:hint="default"/>
      </w:rPr>
    </w:lvl>
    <w:lvl w:ilvl="2" w:tplc="0C070005" w:tentative="1">
      <w:start w:val="1"/>
      <w:numFmt w:val="bullet"/>
      <w:lvlText w:val=""/>
      <w:lvlJc w:val="left"/>
      <w:pPr>
        <w:ind w:left="5040" w:hanging="360"/>
      </w:pPr>
      <w:rPr>
        <w:rFonts w:ascii="Wingdings" w:hAnsi="Wingdings" w:hint="default"/>
      </w:rPr>
    </w:lvl>
    <w:lvl w:ilvl="3" w:tplc="0C070001" w:tentative="1">
      <w:start w:val="1"/>
      <w:numFmt w:val="bullet"/>
      <w:lvlText w:val=""/>
      <w:lvlJc w:val="left"/>
      <w:pPr>
        <w:ind w:left="5760" w:hanging="360"/>
      </w:pPr>
      <w:rPr>
        <w:rFonts w:ascii="Symbol" w:hAnsi="Symbol" w:hint="default"/>
      </w:rPr>
    </w:lvl>
    <w:lvl w:ilvl="4" w:tplc="0C070003" w:tentative="1">
      <w:start w:val="1"/>
      <w:numFmt w:val="bullet"/>
      <w:lvlText w:val="o"/>
      <w:lvlJc w:val="left"/>
      <w:pPr>
        <w:ind w:left="6480" w:hanging="360"/>
      </w:pPr>
      <w:rPr>
        <w:rFonts w:ascii="Courier New" w:hAnsi="Courier New" w:cs="Courier New" w:hint="default"/>
      </w:rPr>
    </w:lvl>
    <w:lvl w:ilvl="5" w:tplc="0C070005" w:tentative="1">
      <w:start w:val="1"/>
      <w:numFmt w:val="bullet"/>
      <w:lvlText w:val=""/>
      <w:lvlJc w:val="left"/>
      <w:pPr>
        <w:ind w:left="7200" w:hanging="360"/>
      </w:pPr>
      <w:rPr>
        <w:rFonts w:ascii="Wingdings" w:hAnsi="Wingdings" w:hint="default"/>
      </w:rPr>
    </w:lvl>
    <w:lvl w:ilvl="6" w:tplc="0C070001" w:tentative="1">
      <w:start w:val="1"/>
      <w:numFmt w:val="bullet"/>
      <w:lvlText w:val=""/>
      <w:lvlJc w:val="left"/>
      <w:pPr>
        <w:ind w:left="7920" w:hanging="360"/>
      </w:pPr>
      <w:rPr>
        <w:rFonts w:ascii="Symbol" w:hAnsi="Symbol" w:hint="default"/>
      </w:rPr>
    </w:lvl>
    <w:lvl w:ilvl="7" w:tplc="0C070003" w:tentative="1">
      <w:start w:val="1"/>
      <w:numFmt w:val="bullet"/>
      <w:lvlText w:val="o"/>
      <w:lvlJc w:val="left"/>
      <w:pPr>
        <w:ind w:left="8640" w:hanging="360"/>
      </w:pPr>
      <w:rPr>
        <w:rFonts w:ascii="Courier New" w:hAnsi="Courier New" w:cs="Courier New" w:hint="default"/>
      </w:rPr>
    </w:lvl>
    <w:lvl w:ilvl="8" w:tplc="0C070005" w:tentative="1">
      <w:start w:val="1"/>
      <w:numFmt w:val="bullet"/>
      <w:lvlText w:val=""/>
      <w:lvlJc w:val="left"/>
      <w:pPr>
        <w:ind w:left="9360" w:hanging="360"/>
      </w:pPr>
      <w:rPr>
        <w:rFonts w:ascii="Wingdings" w:hAnsi="Wingdings" w:hint="default"/>
      </w:rPr>
    </w:lvl>
  </w:abstractNum>
  <w:abstractNum w:abstractNumId="26">
    <w:nsid w:val="5B4E0269"/>
    <w:multiLevelType w:val="hybridMultilevel"/>
    <w:tmpl w:val="2700957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6EA170F2"/>
    <w:multiLevelType w:val="hybridMultilevel"/>
    <w:tmpl w:val="925C44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7DCF4B2E"/>
    <w:multiLevelType w:val="hybridMultilevel"/>
    <w:tmpl w:val="B1D60E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nsid w:val="7F703F41"/>
    <w:multiLevelType w:val="hybridMultilevel"/>
    <w:tmpl w:val="A16086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8"/>
  </w:num>
  <w:num w:numId="4">
    <w:abstractNumId w:val="17"/>
  </w:num>
  <w:num w:numId="5">
    <w:abstractNumId w:val="24"/>
  </w:num>
  <w:num w:numId="6">
    <w:abstractNumId w:val="4"/>
  </w:num>
  <w:num w:numId="7">
    <w:abstractNumId w:val="27"/>
  </w:num>
  <w:num w:numId="8">
    <w:abstractNumId w:val="28"/>
  </w:num>
  <w:num w:numId="9">
    <w:abstractNumId w:val="3"/>
  </w:num>
  <w:num w:numId="10">
    <w:abstractNumId w:val="10"/>
  </w:num>
  <w:num w:numId="11">
    <w:abstractNumId w:val="16"/>
  </w:num>
  <w:num w:numId="12">
    <w:abstractNumId w:val="21"/>
  </w:num>
  <w:num w:numId="13">
    <w:abstractNumId w:val="2"/>
  </w:num>
  <w:num w:numId="14">
    <w:abstractNumId w:val="12"/>
  </w:num>
  <w:num w:numId="15">
    <w:abstractNumId w:val="7"/>
  </w:num>
  <w:num w:numId="16">
    <w:abstractNumId w:val="8"/>
  </w:num>
  <w:num w:numId="17">
    <w:abstractNumId w:val="9"/>
  </w:num>
  <w:num w:numId="18">
    <w:abstractNumId w:val="20"/>
  </w:num>
  <w:num w:numId="19">
    <w:abstractNumId w:val="5"/>
  </w:num>
  <w:num w:numId="20">
    <w:abstractNumId w:val="0"/>
  </w:num>
  <w:num w:numId="21">
    <w:abstractNumId w:val="14"/>
  </w:num>
  <w:num w:numId="22">
    <w:abstractNumId w:val="26"/>
  </w:num>
  <w:num w:numId="23">
    <w:abstractNumId w:val="6"/>
  </w:num>
  <w:num w:numId="24">
    <w:abstractNumId w:val="1"/>
  </w:num>
  <w:num w:numId="25">
    <w:abstractNumId w:val="22"/>
  </w:num>
  <w:num w:numId="26">
    <w:abstractNumId w:val="11"/>
  </w:num>
  <w:num w:numId="27">
    <w:abstractNumId w:val="19"/>
  </w:num>
  <w:num w:numId="28">
    <w:abstractNumId w:val="25"/>
  </w:num>
  <w:num w:numId="29">
    <w:abstractNumId w:val="15"/>
  </w:num>
  <w:num w:numId="30">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053"/>
    <w:rsid w:val="00001F72"/>
    <w:rsid w:val="000020B5"/>
    <w:rsid w:val="00002B76"/>
    <w:rsid w:val="00004781"/>
    <w:rsid w:val="00004BEB"/>
    <w:rsid w:val="000076F3"/>
    <w:rsid w:val="000119C3"/>
    <w:rsid w:val="00016400"/>
    <w:rsid w:val="000173F6"/>
    <w:rsid w:val="00017E16"/>
    <w:rsid w:val="00017E7F"/>
    <w:rsid w:val="000311E9"/>
    <w:rsid w:val="000342CE"/>
    <w:rsid w:val="00037976"/>
    <w:rsid w:val="00044914"/>
    <w:rsid w:val="00053888"/>
    <w:rsid w:val="00055380"/>
    <w:rsid w:val="00061E82"/>
    <w:rsid w:val="000626C9"/>
    <w:rsid w:val="000631E9"/>
    <w:rsid w:val="00065A8C"/>
    <w:rsid w:val="000663DD"/>
    <w:rsid w:val="00067CE4"/>
    <w:rsid w:val="000700A6"/>
    <w:rsid w:val="00070340"/>
    <w:rsid w:val="00072716"/>
    <w:rsid w:val="00072730"/>
    <w:rsid w:val="000749F8"/>
    <w:rsid w:val="00076954"/>
    <w:rsid w:val="000804C4"/>
    <w:rsid w:val="00083C59"/>
    <w:rsid w:val="00083F56"/>
    <w:rsid w:val="000906F5"/>
    <w:rsid w:val="00090B6F"/>
    <w:rsid w:val="00093193"/>
    <w:rsid w:val="00093F2D"/>
    <w:rsid w:val="00094485"/>
    <w:rsid w:val="00096AA7"/>
    <w:rsid w:val="00097BB9"/>
    <w:rsid w:val="000A0B44"/>
    <w:rsid w:val="000A20BE"/>
    <w:rsid w:val="000A6FE3"/>
    <w:rsid w:val="000B0F21"/>
    <w:rsid w:val="000B5121"/>
    <w:rsid w:val="000B7778"/>
    <w:rsid w:val="000C0549"/>
    <w:rsid w:val="000C4657"/>
    <w:rsid w:val="000C65B0"/>
    <w:rsid w:val="000C7090"/>
    <w:rsid w:val="000D0DED"/>
    <w:rsid w:val="000E0CB2"/>
    <w:rsid w:val="000E2044"/>
    <w:rsid w:val="000E28D7"/>
    <w:rsid w:val="000E28DD"/>
    <w:rsid w:val="000E6C77"/>
    <w:rsid w:val="000E726D"/>
    <w:rsid w:val="000F30A1"/>
    <w:rsid w:val="001121F0"/>
    <w:rsid w:val="00112371"/>
    <w:rsid w:val="00113311"/>
    <w:rsid w:val="0011335F"/>
    <w:rsid w:val="00114D27"/>
    <w:rsid w:val="001167BA"/>
    <w:rsid w:val="0012318F"/>
    <w:rsid w:val="00124F2E"/>
    <w:rsid w:val="001260AA"/>
    <w:rsid w:val="0013683D"/>
    <w:rsid w:val="00143F1F"/>
    <w:rsid w:val="0015288F"/>
    <w:rsid w:val="001530D1"/>
    <w:rsid w:val="00157EFC"/>
    <w:rsid w:val="001604D9"/>
    <w:rsid w:val="0016057A"/>
    <w:rsid w:val="00160848"/>
    <w:rsid w:val="00161D23"/>
    <w:rsid w:val="0017068A"/>
    <w:rsid w:val="0017345E"/>
    <w:rsid w:val="00175DAB"/>
    <w:rsid w:val="00176056"/>
    <w:rsid w:val="00177AC8"/>
    <w:rsid w:val="00183C0F"/>
    <w:rsid w:val="00183D21"/>
    <w:rsid w:val="001841F1"/>
    <w:rsid w:val="00184EB5"/>
    <w:rsid w:val="001902C8"/>
    <w:rsid w:val="0019125E"/>
    <w:rsid w:val="00194C4E"/>
    <w:rsid w:val="00197D3C"/>
    <w:rsid w:val="001A4864"/>
    <w:rsid w:val="001B17FD"/>
    <w:rsid w:val="001B4399"/>
    <w:rsid w:val="001B4FFE"/>
    <w:rsid w:val="001B5B8E"/>
    <w:rsid w:val="001B5FEC"/>
    <w:rsid w:val="001B609D"/>
    <w:rsid w:val="001B7C5D"/>
    <w:rsid w:val="001C14CF"/>
    <w:rsid w:val="001C57B3"/>
    <w:rsid w:val="001D0036"/>
    <w:rsid w:val="001D1219"/>
    <w:rsid w:val="001D151C"/>
    <w:rsid w:val="001D17E3"/>
    <w:rsid w:val="001D7053"/>
    <w:rsid w:val="001E3850"/>
    <w:rsid w:val="001E42A3"/>
    <w:rsid w:val="001E4C42"/>
    <w:rsid w:val="001E5CED"/>
    <w:rsid w:val="001F018A"/>
    <w:rsid w:val="001F1DAC"/>
    <w:rsid w:val="001F30E8"/>
    <w:rsid w:val="001F47CD"/>
    <w:rsid w:val="001F4F26"/>
    <w:rsid w:val="002000F4"/>
    <w:rsid w:val="0020123B"/>
    <w:rsid w:val="002013CA"/>
    <w:rsid w:val="002039BF"/>
    <w:rsid w:val="00204464"/>
    <w:rsid w:val="002058F9"/>
    <w:rsid w:val="002060D6"/>
    <w:rsid w:val="00210F2A"/>
    <w:rsid w:val="0021119D"/>
    <w:rsid w:val="00217785"/>
    <w:rsid w:val="00222A97"/>
    <w:rsid w:val="00223997"/>
    <w:rsid w:val="00223FF9"/>
    <w:rsid w:val="00231446"/>
    <w:rsid w:val="0023189A"/>
    <w:rsid w:val="00233931"/>
    <w:rsid w:val="002405CC"/>
    <w:rsid w:val="002405FC"/>
    <w:rsid w:val="00243390"/>
    <w:rsid w:val="002440AF"/>
    <w:rsid w:val="00245379"/>
    <w:rsid w:val="0024768B"/>
    <w:rsid w:val="00250092"/>
    <w:rsid w:val="002514A4"/>
    <w:rsid w:val="002523DA"/>
    <w:rsid w:val="00252586"/>
    <w:rsid w:val="002561F4"/>
    <w:rsid w:val="00262E10"/>
    <w:rsid w:val="002676CE"/>
    <w:rsid w:val="00267BDB"/>
    <w:rsid w:val="00273774"/>
    <w:rsid w:val="00277AA5"/>
    <w:rsid w:val="00283134"/>
    <w:rsid w:val="00290EAE"/>
    <w:rsid w:val="002926DE"/>
    <w:rsid w:val="00297EB0"/>
    <w:rsid w:val="002A174D"/>
    <w:rsid w:val="002A4D7E"/>
    <w:rsid w:val="002A4E70"/>
    <w:rsid w:val="002A5BC0"/>
    <w:rsid w:val="002A7D12"/>
    <w:rsid w:val="002B5C20"/>
    <w:rsid w:val="002C03C5"/>
    <w:rsid w:val="002C23AF"/>
    <w:rsid w:val="002C7DF2"/>
    <w:rsid w:val="002D2232"/>
    <w:rsid w:val="002D2D00"/>
    <w:rsid w:val="002E580E"/>
    <w:rsid w:val="002F1558"/>
    <w:rsid w:val="002F676D"/>
    <w:rsid w:val="002F7057"/>
    <w:rsid w:val="002F7CEF"/>
    <w:rsid w:val="003010C6"/>
    <w:rsid w:val="00301839"/>
    <w:rsid w:val="00304E55"/>
    <w:rsid w:val="00323169"/>
    <w:rsid w:val="003231B8"/>
    <w:rsid w:val="00324B6B"/>
    <w:rsid w:val="00324B97"/>
    <w:rsid w:val="00326644"/>
    <w:rsid w:val="00326B10"/>
    <w:rsid w:val="00332790"/>
    <w:rsid w:val="0033415D"/>
    <w:rsid w:val="00334A9A"/>
    <w:rsid w:val="003355E7"/>
    <w:rsid w:val="003407E9"/>
    <w:rsid w:val="0034235A"/>
    <w:rsid w:val="00345557"/>
    <w:rsid w:val="0034727F"/>
    <w:rsid w:val="00351890"/>
    <w:rsid w:val="00355BBC"/>
    <w:rsid w:val="00355F03"/>
    <w:rsid w:val="00363456"/>
    <w:rsid w:val="003641CC"/>
    <w:rsid w:val="003673BE"/>
    <w:rsid w:val="00367D1A"/>
    <w:rsid w:val="00370963"/>
    <w:rsid w:val="00371502"/>
    <w:rsid w:val="00373B7F"/>
    <w:rsid w:val="00373E68"/>
    <w:rsid w:val="00375151"/>
    <w:rsid w:val="00376D99"/>
    <w:rsid w:val="003800B3"/>
    <w:rsid w:val="00384849"/>
    <w:rsid w:val="00384B57"/>
    <w:rsid w:val="0038770F"/>
    <w:rsid w:val="00395544"/>
    <w:rsid w:val="003975A6"/>
    <w:rsid w:val="00397A1F"/>
    <w:rsid w:val="00397AD9"/>
    <w:rsid w:val="003A033A"/>
    <w:rsid w:val="003A454A"/>
    <w:rsid w:val="003A682D"/>
    <w:rsid w:val="003B1F0E"/>
    <w:rsid w:val="003B615F"/>
    <w:rsid w:val="003B70F8"/>
    <w:rsid w:val="003C5D5B"/>
    <w:rsid w:val="003D1E76"/>
    <w:rsid w:val="003D2567"/>
    <w:rsid w:val="003D704B"/>
    <w:rsid w:val="003D7CAA"/>
    <w:rsid w:val="003E1994"/>
    <w:rsid w:val="003E2A11"/>
    <w:rsid w:val="003E62B7"/>
    <w:rsid w:val="003F7BBA"/>
    <w:rsid w:val="004019BB"/>
    <w:rsid w:val="0040257C"/>
    <w:rsid w:val="00403687"/>
    <w:rsid w:val="00404193"/>
    <w:rsid w:val="00407E18"/>
    <w:rsid w:val="0041037C"/>
    <w:rsid w:val="00411AC4"/>
    <w:rsid w:val="0041289E"/>
    <w:rsid w:val="00420970"/>
    <w:rsid w:val="0042177C"/>
    <w:rsid w:val="00421EA1"/>
    <w:rsid w:val="00423A4D"/>
    <w:rsid w:val="004256C3"/>
    <w:rsid w:val="0042736E"/>
    <w:rsid w:val="00431FCE"/>
    <w:rsid w:val="004320EF"/>
    <w:rsid w:val="00436149"/>
    <w:rsid w:val="004400AB"/>
    <w:rsid w:val="0044101B"/>
    <w:rsid w:val="00441D04"/>
    <w:rsid w:val="00445837"/>
    <w:rsid w:val="0044605B"/>
    <w:rsid w:val="00446109"/>
    <w:rsid w:val="0045698C"/>
    <w:rsid w:val="004570FF"/>
    <w:rsid w:val="00457E45"/>
    <w:rsid w:val="00463E61"/>
    <w:rsid w:val="004653C8"/>
    <w:rsid w:val="00466C01"/>
    <w:rsid w:val="00467506"/>
    <w:rsid w:val="00476ECE"/>
    <w:rsid w:val="0048363F"/>
    <w:rsid w:val="004915DD"/>
    <w:rsid w:val="0049211A"/>
    <w:rsid w:val="00492154"/>
    <w:rsid w:val="00495706"/>
    <w:rsid w:val="00497511"/>
    <w:rsid w:val="004A0AF5"/>
    <w:rsid w:val="004A672A"/>
    <w:rsid w:val="004B5F08"/>
    <w:rsid w:val="004B6CBF"/>
    <w:rsid w:val="004C1E3B"/>
    <w:rsid w:val="004C5293"/>
    <w:rsid w:val="004C669C"/>
    <w:rsid w:val="004C68DD"/>
    <w:rsid w:val="004D04AC"/>
    <w:rsid w:val="004D5E53"/>
    <w:rsid w:val="004D7325"/>
    <w:rsid w:val="004E2BDB"/>
    <w:rsid w:val="004E3BDE"/>
    <w:rsid w:val="004E6ED1"/>
    <w:rsid w:val="004F123A"/>
    <w:rsid w:val="004F37EF"/>
    <w:rsid w:val="004F4A3F"/>
    <w:rsid w:val="004F604E"/>
    <w:rsid w:val="0050093B"/>
    <w:rsid w:val="00505120"/>
    <w:rsid w:val="0051186B"/>
    <w:rsid w:val="00512B46"/>
    <w:rsid w:val="005222C6"/>
    <w:rsid w:val="00532072"/>
    <w:rsid w:val="00541EAC"/>
    <w:rsid w:val="00543027"/>
    <w:rsid w:val="00551F9C"/>
    <w:rsid w:val="0055485F"/>
    <w:rsid w:val="0055498D"/>
    <w:rsid w:val="00555827"/>
    <w:rsid w:val="00555B46"/>
    <w:rsid w:val="00556478"/>
    <w:rsid w:val="005572B2"/>
    <w:rsid w:val="00557F11"/>
    <w:rsid w:val="0056497F"/>
    <w:rsid w:val="00564BAC"/>
    <w:rsid w:val="00566BDD"/>
    <w:rsid w:val="005676BD"/>
    <w:rsid w:val="005730D6"/>
    <w:rsid w:val="0057483D"/>
    <w:rsid w:val="00575729"/>
    <w:rsid w:val="00575A93"/>
    <w:rsid w:val="00575C93"/>
    <w:rsid w:val="005774C3"/>
    <w:rsid w:val="005824EB"/>
    <w:rsid w:val="00582EDF"/>
    <w:rsid w:val="00583898"/>
    <w:rsid w:val="00591742"/>
    <w:rsid w:val="00594D30"/>
    <w:rsid w:val="00595CD1"/>
    <w:rsid w:val="00596DF7"/>
    <w:rsid w:val="005A2A08"/>
    <w:rsid w:val="005A37F4"/>
    <w:rsid w:val="005B20BC"/>
    <w:rsid w:val="005B3D4E"/>
    <w:rsid w:val="005B4F81"/>
    <w:rsid w:val="005B539C"/>
    <w:rsid w:val="005B7876"/>
    <w:rsid w:val="005C5B63"/>
    <w:rsid w:val="005C7D74"/>
    <w:rsid w:val="005D6033"/>
    <w:rsid w:val="005F0EEB"/>
    <w:rsid w:val="005F21D0"/>
    <w:rsid w:val="005F51C7"/>
    <w:rsid w:val="005F6A54"/>
    <w:rsid w:val="006050FC"/>
    <w:rsid w:val="00607131"/>
    <w:rsid w:val="00612953"/>
    <w:rsid w:val="006160D0"/>
    <w:rsid w:val="00617858"/>
    <w:rsid w:val="0063010E"/>
    <w:rsid w:val="00634E3C"/>
    <w:rsid w:val="00635D7B"/>
    <w:rsid w:val="00635FBB"/>
    <w:rsid w:val="00643E8B"/>
    <w:rsid w:val="006454A6"/>
    <w:rsid w:val="00645DBF"/>
    <w:rsid w:val="0065006E"/>
    <w:rsid w:val="00652AC4"/>
    <w:rsid w:val="00655503"/>
    <w:rsid w:val="0065710D"/>
    <w:rsid w:val="00657673"/>
    <w:rsid w:val="00662ACB"/>
    <w:rsid w:val="00670ADB"/>
    <w:rsid w:val="00674790"/>
    <w:rsid w:val="0067506E"/>
    <w:rsid w:val="00676D06"/>
    <w:rsid w:val="00684DC9"/>
    <w:rsid w:val="00693730"/>
    <w:rsid w:val="0069449C"/>
    <w:rsid w:val="00695058"/>
    <w:rsid w:val="0069597B"/>
    <w:rsid w:val="00695F6D"/>
    <w:rsid w:val="006A0EE5"/>
    <w:rsid w:val="006A4E84"/>
    <w:rsid w:val="006A54D1"/>
    <w:rsid w:val="006A637C"/>
    <w:rsid w:val="006A6BCA"/>
    <w:rsid w:val="006B0CFF"/>
    <w:rsid w:val="006B51D0"/>
    <w:rsid w:val="006B5E82"/>
    <w:rsid w:val="006C24B9"/>
    <w:rsid w:val="006C3BB2"/>
    <w:rsid w:val="006C577B"/>
    <w:rsid w:val="006E066F"/>
    <w:rsid w:val="006E5C14"/>
    <w:rsid w:val="006F014D"/>
    <w:rsid w:val="006F2D40"/>
    <w:rsid w:val="006F700C"/>
    <w:rsid w:val="006F768D"/>
    <w:rsid w:val="006F7847"/>
    <w:rsid w:val="006F7B1A"/>
    <w:rsid w:val="00707416"/>
    <w:rsid w:val="00710728"/>
    <w:rsid w:val="0071135A"/>
    <w:rsid w:val="00713B77"/>
    <w:rsid w:val="00717AB2"/>
    <w:rsid w:val="00717AF1"/>
    <w:rsid w:val="00724F3D"/>
    <w:rsid w:val="007349BC"/>
    <w:rsid w:val="00736474"/>
    <w:rsid w:val="00741962"/>
    <w:rsid w:val="00750BD0"/>
    <w:rsid w:val="00751926"/>
    <w:rsid w:val="00755A89"/>
    <w:rsid w:val="00761653"/>
    <w:rsid w:val="00764254"/>
    <w:rsid w:val="007673C2"/>
    <w:rsid w:val="00767E91"/>
    <w:rsid w:val="00774BD3"/>
    <w:rsid w:val="007762BF"/>
    <w:rsid w:val="007770C0"/>
    <w:rsid w:val="00784B82"/>
    <w:rsid w:val="007858B4"/>
    <w:rsid w:val="007875CD"/>
    <w:rsid w:val="0079269D"/>
    <w:rsid w:val="00792AB9"/>
    <w:rsid w:val="00793351"/>
    <w:rsid w:val="0079431D"/>
    <w:rsid w:val="00794D16"/>
    <w:rsid w:val="007A1B4A"/>
    <w:rsid w:val="007A2B77"/>
    <w:rsid w:val="007B30AB"/>
    <w:rsid w:val="007B7CB8"/>
    <w:rsid w:val="007C103F"/>
    <w:rsid w:val="007C5587"/>
    <w:rsid w:val="007C5D4A"/>
    <w:rsid w:val="007D033C"/>
    <w:rsid w:val="007D449C"/>
    <w:rsid w:val="007E2C88"/>
    <w:rsid w:val="007E3B3B"/>
    <w:rsid w:val="007E7F77"/>
    <w:rsid w:val="007F04AE"/>
    <w:rsid w:val="007F28CD"/>
    <w:rsid w:val="007F2CE4"/>
    <w:rsid w:val="007F49A0"/>
    <w:rsid w:val="007F5248"/>
    <w:rsid w:val="007F7628"/>
    <w:rsid w:val="00800A56"/>
    <w:rsid w:val="00800B0A"/>
    <w:rsid w:val="0080361D"/>
    <w:rsid w:val="00804E53"/>
    <w:rsid w:val="00805F94"/>
    <w:rsid w:val="008075EF"/>
    <w:rsid w:val="00810424"/>
    <w:rsid w:val="008105C6"/>
    <w:rsid w:val="00810639"/>
    <w:rsid w:val="008111BD"/>
    <w:rsid w:val="00812C78"/>
    <w:rsid w:val="00813596"/>
    <w:rsid w:val="00814B21"/>
    <w:rsid w:val="0081602D"/>
    <w:rsid w:val="00824324"/>
    <w:rsid w:val="00825C22"/>
    <w:rsid w:val="00826855"/>
    <w:rsid w:val="00830751"/>
    <w:rsid w:val="0083120C"/>
    <w:rsid w:val="00831410"/>
    <w:rsid w:val="00831CDA"/>
    <w:rsid w:val="008344CB"/>
    <w:rsid w:val="008366BA"/>
    <w:rsid w:val="00836C2A"/>
    <w:rsid w:val="008417D9"/>
    <w:rsid w:val="00851538"/>
    <w:rsid w:val="008525DF"/>
    <w:rsid w:val="008545E9"/>
    <w:rsid w:val="008551F8"/>
    <w:rsid w:val="0087203B"/>
    <w:rsid w:val="00874C5E"/>
    <w:rsid w:val="00883629"/>
    <w:rsid w:val="00883785"/>
    <w:rsid w:val="008869B6"/>
    <w:rsid w:val="008A27D7"/>
    <w:rsid w:val="008A7C8B"/>
    <w:rsid w:val="008B71BA"/>
    <w:rsid w:val="008B7E00"/>
    <w:rsid w:val="008C16C1"/>
    <w:rsid w:val="008D16E4"/>
    <w:rsid w:val="008D5BD0"/>
    <w:rsid w:val="008D65B9"/>
    <w:rsid w:val="008D67A2"/>
    <w:rsid w:val="008E181E"/>
    <w:rsid w:val="008E2C10"/>
    <w:rsid w:val="008F1491"/>
    <w:rsid w:val="008F312F"/>
    <w:rsid w:val="008F33AC"/>
    <w:rsid w:val="00902C99"/>
    <w:rsid w:val="00903D84"/>
    <w:rsid w:val="009069D2"/>
    <w:rsid w:val="00907DEB"/>
    <w:rsid w:val="009200E1"/>
    <w:rsid w:val="00925890"/>
    <w:rsid w:val="009304A2"/>
    <w:rsid w:val="00930722"/>
    <w:rsid w:val="00930ACD"/>
    <w:rsid w:val="009348D9"/>
    <w:rsid w:val="009373C8"/>
    <w:rsid w:val="0094432C"/>
    <w:rsid w:val="009455DB"/>
    <w:rsid w:val="00952963"/>
    <w:rsid w:val="0095319E"/>
    <w:rsid w:val="009531FC"/>
    <w:rsid w:val="00953C10"/>
    <w:rsid w:val="00954C62"/>
    <w:rsid w:val="00961364"/>
    <w:rsid w:val="009621AA"/>
    <w:rsid w:val="00966855"/>
    <w:rsid w:val="00970D14"/>
    <w:rsid w:val="0097128F"/>
    <w:rsid w:val="00971ED2"/>
    <w:rsid w:val="009722BC"/>
    <w:rsid w:val="0097399A"/>
    <w:rsid w:val="009759E1"/>
    <w:rsid w:val="00980E5B"/>
    <w:rsid w:val="009811B1"/>
    <w:rsid w:val="0098297D"/>
    <w:rsid w:val="00986E0F"/>
    <w:rsid w:val="00990A2C"/>
    <w:rsid w:val="00991BD0"/>
    <w:rsid w:val="009921A7"/>
    <w:rsid w:val="009A0386"/>
    <w:rsid w:val="009A0BAF"/>
    <w:rsid w:val="009A747F"/>
    <w:rsid w:val="009B0A39"/>
    <w:rsid w:val="009B1B2C"/>
    <w:rsid w:val="009B1BE3"/>
    <w:rsid w:val="009B3062"/>
    <w:rsid w:val="009C42E8"/>
    <w:rsid w:val="009E2442"/>
    <w:rsid w:val="009E5A8F"/>
    <w:rsid w:val="009E6E03"/>
    <w:rsid w:val="009F28F8"/>
    <w:rsid w:val="009F3BA3"/>
    <w:rsid w:val="009F47FE"/>
    <w:rsid w:val="00A05FD1"/>
    <w:rsid w:val="00A11609"/>
    <w:rsid w:val="00A1231C"/>
    <w:rsid w:val="00A16684"/>
    <w:rsid w:val="00A212D7"/>
    <w:rsid w:val="00A22695"/>
    <w:rsid w:val="00A25ED5"/>
    <w:rsid w:val="00A2742D"/>
    <w:rsid w:val="00A27B34"/>
    <w:rsid w:val="00A27CED"/>
    <w:rsid w:val="00A46055"/>
    <w:rsid w:val="00A56046"/>
    <w:rsid w:val="00A6380D"/>
    <w:rsid w:val="00A6465E"/>
    <w:rsid w:val="00A65D7A"/>
    <w:rsid w:val="00A663DB"/>
    <w:rsid w:val="00A77E23"/>
    <w:rsid w:val="00A87216"/>
    <w:rsid w:val="00A909B1"/>
    <w:rsid w:val="00A9345C"/>
    <w:rsid w:val="00A93ECC"/>
    <w:rsid w:val="00A95FEB"/>
    <w:rsid w:val="00A96DAA"/>
    <w:rsid w:val="00AB0423"/>
    <w:rsid w:val="00AB080A"/>
    <w:rsid w:val="00AB09D0"/>
    <w:rsid w:val="00AC0E47"/>
    <w:rsid w:val="00AC10B9"/>
    <w:rsid w:val="00AC37F5"/>
    <w:rsid w:val="00AC3BC0"/>
    <w:rsid w:val="00AC4BAE"/>
    <w:rsid w:val="00AC5C41"/>
    <w:rsid w:val="00AD1D00"/>
    <w:rsid w:val="00AD30D8"/>
    <w:rsid w:val="00AD3328"/>
    <w:rsid w:val="00AD3804"/>
    <w:rsid w:val="00AE2AD8"/>
    <w:rsid w:val="00AF0B37"/>
    <w:rsid w:val="00B023F1"/>
    <w:rsid w:val="00B02E4B"/>
    <w:rsid w:val="00B0363B"/>
    <w:rsid w:val="00B03800"/>
    <w:rsid w:val="00B03AFD"/>
    <w:rsid w:val="00B050E3"/>
    <w:rsid w:val="00B052A7"/>
    <w:rsid w:val="00B06EE3"/>
    <w:rsid w:val="00B123A7"/>
    <w:rsid w:val="00B12999"/>
    <w:rsid w:val="00B131D5"/>
    <w:rsid w:val="00B15F47"/>
    <w:rsid w:val="00B1765A"/>
    <w:rsid w:val="00B2121B"/>
    <w:rsid w:val="00B22825"/>
    <w:rsid w:val="00B25759"/>
    <w:rsid w:val="00B27F8E"/>
    <w:rsid w:val="00B30C90"/>
    <w:rsid w:val="00B333B7"/>
    <w:rsid w:val="00B340EA"/>
    <w:rsid w:val="00B34894"/>
    <w:rsid w:val="00B3641F"/>
    <w:rsid w:val="00B3678A"/>
    <w:rsid w:val="00B4071A"/>
    <w:rsid w:val="00B41BE8"/>
    <w:rsid w:val="00B424A8"/>
    <w:rsid w:val="00B50DD1"/>
    <w:rsid w:val="00B579A1"/>
    <w:rsid w:val="00B6796C"/>
    <w:rsid w:val="00B73CBD"/>
    <w:rsid w:val="00B7602D"/>
    <w:rsid w:val="00B77026"/>
    <w:rsid w:val="00B77496"/>
    <w:rsid w:val="00B77600"/>
    <w:rsid w:val="00B83BB4"/>
    <w:rsid w:val="00B847AA"/>
    <w:rsid w:val="00B90EF7"/>
    <w:rsid w:val="00B913E5"/>
    <w:rsid w:val="00B91959"/>
    <w:rsid w:val="00B92785"/>
    <w:rsid w:val="00B97E4E"/>
    <w:rsid w:val="00B97FC8"/>
    <w:rsid w:val="00BA1013"/>
    <w:rsid w:val="00BA143D"/>
    <w:rsid w:val="00BA4D67"/>
    <w:rsid w:val="00BA6BD6"/>
    <w:rsid w:val="00BA6F4E"/>
    <w:rsid w:val="00BB01DB"/>
    <w:rsid w:val="00BB0D6F"/>
    <w:rsid w:val="00BB1762"/>
    <w:rsid w:val="00BB1A7E"/>
    <w:rsid w:val="00BB1F23"/>
    <w:rsid w:val="00BB51F9"/>
    <w:rsid w:val="00BB7217"/>
    <w:rsid w:val="00BC1ABD"/>
    <w:rsid w:val="00BC5F1E"/>
    <w:rsid w:val="00BC6B3E"/>
    <w:rsid w:val="00BC7D2C"/>
    <w:rsid w:val="00BD13DB"/>
    <w:rsid w:val="00BD1BEF"/>
    <w:rsid w:val="00BD3BF6"/>
    <w:rsid w:val="00BD6BCC"/>
    <w:rsid w:val="00BE2182"/>
    <w:rsid w:val="00BE218F"/>
    <w:rsid w:val="00BE4665"/>
    <w:rsid w:val="00BE5B35"/>
    <w:rsid w:val="00BF2453"/>
    <w:rsid w:val="00BF49A1"/>
    <w:rsid w:val="00BF76E7"/>
    <w:rsid w:val="00BF79A4"/>
    <w:rsid w:val="00BF7EF1"/>
    <w:rsid w:val="00C047DD"/>
    <w:rsid w:val="00C0697E"/>
    <w:rsid w:val="00C13932"/>
    <w:rsid w:val="00C154C7"/>
    <w:rsid w:val="00C16DBB"/>
    <w:rsid w:val="00C2124D"/>
    <w:rsid w:val="00C2574F"/>
    <w:rsid w:val="00C33F0F"/>
    <w:rsid w:val="00C42C38"/>
    <w:rsid w:val="00C42C75"/>
    <w:rsid w:val="00C50517"/>
    <w:rsid w:val="00C506E9"/>
    <w:rsid w:val="00C50E22"/>
    <w:rsid w:val="00C55E1F"/>
    <w:rsid w:val="00C62622"/>
    <w:rsid w:val="00C66676"/>
    <w:rsid w:val="00C7108E"/>
    <w:rsid w:val="00C71C47"/>
    <w:rsid w:val="00C73979"/>
    <w:rsid w:val="00C82B3D"/>
    <w:rsid w:val="00C852D2"/>
    <w:rsid w:val="00C8539F"/>
    <w:rsid w:val="00C85A7E"/>
    <w:rsid w:val="00C873D9"/>
    <w:rsid w:val="00C909C3"/>
    <w:rsid w:val="00C97DDC"/>
    <w:rsid w:val="00CA6B65"/>
    <w:rsid w:val="00CA744F"/>
    <w:rsid w:val="00CB1DEF"/>
    <w:rsid w:val="00CC1294"/>
    <w:rsid w:val="00CC4443"/>
    <w:rsid w:val="00CE03C4"/>
    <w:rsid w:val="00CE1FA7"/>
    <w:rsid w:val="00CE46E9"/>
    <w:rsid w:val="00CE5551"/>
    <w:rsid w:val="00CE7E40"/>
    <w:rsid w:val="00CF0504"/>
    <w:rsid w:val="00CF1053"/>
    <w:rsid w:val="00CF187E"/>
    <w:rsid w:val="00CF4313"/>
    <w:rsid w:val="00D07250"/>
    <w:rsid w:val="00D11741"/>
    <w:rsid w:val="00D123BC"/>
    <w:rsid w:val="00D16C9D"/>
    <w:rsid w:val="00D17DB7"/>
    <w:rsid w:val="00D22121"/>
    <w:rsid w:val="00D22A5C"/>
    <w:rsid w:val="00D24659"/>
    <w:rsid w:val="00D27126"/>
    <w:rsid w:val="00D27A20"/>
    <w:rsid w:val="00D308C7"/>
    <w:rsid w:val="00D31137"/>
    <w:rsid w:val="00D34014"/>
    <w:rsid w:val="00D35184"/>
    <w:rsid w:val="00D363D6"/>
    <w:rsid w:val="00D45C36"/>
    <w:rsid w:val="00D45C89"/>
    <w:rsid w:val="00D4659D"/>
    <w:rsid w:val="00D50BCE"/>
    <w:rsid w:val="00D57CAE"/>
    <w:rsid w:val="00D621D6"/>
    <w:rsid w:val="00D62CA0"/>
    <w:rsid w:val="00D662EC"/>
    <w:rsid w:val="00D72CFE"/>
    <w:rsid w:val="00D73114"/>
    <w:rsid w:val="00D73917"/>
    <w:rsid w:val="00D748D6"/>
    <w:rsid w:val="00D8077B"/>
    <w:rsid w:val="00D80FE6"/>
    <w:rsid w:val="00D82CC8"/>
    <w:rsid w:val="00D83600"/>
    <w:rsid w:val="00D84DA0"/>
    <w:rsid w:val="00D860A7"/>
    <w:rsid w:val="00D8772C"/>
    <w:rsid w:val="00D95352"/>
    <w:rsid w:val="00D9794B"/>
    <w:rsid w:val="00DA5DDE"/>
    <w:rsid w:val="00DA6C70"/>
    <w:rsid w:val="00DA77C1"/>
    <w:rsid w:val="00DB3512"/>
    <w:rsid w:val="00DC40EB"/>
    <w:rsid w:val="00DC5907"/>
    <w:rsid w:val="00DC5F52"/>
    <w:rsid w:val="00DC64D8"/>
    <w:rsid w:val="00DD07B8"/>
    <w:rsid w:val="00DD3171"/>
    <w:rsid w:val="00DD34F5"/>
    <w:rsid w:val="00DE609E"/>
    <w:rsid w:val="00DF2292"/>
    <w:rsid w:val="00DF2EA1"/>
    <w:rsid w:val="00DF38B1"/>
    <w:rsid w:val="00DF476A"/>
    <w:rsid w:val="00DF7D0D"/>
    <w:rsid w:val="00E01EE8"/>
    <w:rsid w:val="00E04B64"/>
    <w:rsid w:val="00E14BA2"/>
    <w:rsid w:val="00E16718"/>
    <w:rsid w:val="00E16991"/>
    <w:rsid w:val="00E17528"/>
    <w:rsid w:val="00E2033B"/>
    <w:rsid w:val="00E22DE0"/>
    <w:rsid w:val="00E247AE"/>
    <w:rsid w:val="00E253F1"/>
    <w:rsid w:val="00E3026B"/>
    <w:rsid w:val="00E31215"/>
    <w:rsid w:val="00E32401"/>
    <w:rsid w:val="00E34CBB"/>
    <w:rsid w:val="00E40C71"/>
    <w:rsid w:val="00E40CAE"/>
    <w:rsid w:val="00E422A4"/>
    <w:rsid w:val="00E43B0F"/>
    <w:rsid w:val="00E43BD8"/>
    <w:rsid w:val="00E45BBC"/>
    <w:rsid w:val="00E47A74"/>
    <w:rsid w:val="00E47B51"/>
    <w:rsid w:val="00E50483"/>
    <w:rsid w:val="00E54169"/>
    <w:rsid w:val="00E6054B"/>
    <w:rsid w:val="00E61567"/>
    <w:rsid w:val="00E84D17"/>
    <w:rsid w:val="00E8748E"/>
    <w:rsid w:val="00E91D29"/>
    <w:rsid w:val="00E93644"/>
    <w:rsid w:val="00E97787"/>
    <w:rsid w:val="00EA0065"/>
    <w:rsid w:val="00EA48FE"/>
    <w:rsid w:val="00EA5733"/>
    <w:rsid w:val="00EA6A7E"/>
    <w:rsid w:val="00EA74FD"/>
    <w:rsid w:val="00EA77F9"/>
    <w:rsid w:val="00EB0A4B"/>
    <w:rsid w:val="00EB3D9B"/>
    <w:rsid w:val="00EB4536"/>
    <w:rsid w:val="00EB47E2"/>
    <w:rsid w:val="00EB6B87"/>
    <w:rsid w:val="00EB6FBE"/>
    <w:rsid w:val="00EC1A88"/>
    <w:rsid w:val="00EC2BC4"/>
    <w:rsid w:val="00EC3839"/>
    <w:rsid w:val="00EC4F22"/>
    <w:rsid w:val="00ED0ED1"/>
    <w:rsid w:val="00ED6F17"/>
    <w:rsid w:val="00EE1815"/>
    <w:rsid w:val="00EE18EB"/>
    <w:rsid w:val="00EE4F81"/>
    <w:rsid w:val="00EE5B78"/>
    <w:rsid w:val="00EE7831"/>
    <w:rsid w:val="00EF167A"/>
    <w:rsid w:val="00EF468E"/>
    <w:rsid w:val="00EF4827"/>
    <w:rsid w:val="00F01AF6"/>
    <w:rsid w:val="00F044D9"/>
    <w:rsid w:val="00F05821"/>
    <w:rsid w:val="00F10810"/>
    <w:rsid w:val="00F11F1E"/>
    <w:rsid w:val="00F14253"/>
    <w:rsid w:val="00F14635"/>
    <w:rsid w:val="00F27CCC"/>
    <w:rsid w:val="00F3107B"/>
    <w:rsid w:val="00F3259A"/>
    <w:rsid w:val="00F37BCE"/>
    <w:rsid w:val="00F40563"/>
    <w:rsid w:val="00F410A4"/>
    <w:rsid w:val="00F437E3"/>
    <w:rsid w:val="00F4410A"/>
    <w:rsid w:val="00F441F0"/>
    <w:rsid w:val="00F45E43"/>
    <w:rsid w:val="00F4637B"/>
    <w:rsid w:val="00F5302E"/>
    <w:rsid w:val="00F57196"/>
    <w:rsid w:val="00F626B1"/>
    <w:rsid w:val="00F626F5"/>
    <w:rsid w:val="00F703C3"/>
    <w:rsid w:val="00F746B4"/>
    <w:rsid w:val="00F77517"/>
    <w:rsid w:val="00F813EC"/>
    <w:rsid w:val="00F82E30"/>
    <w:rsid w:val="00F84A29"/>
    <w:rsid w:val="00F90793"/>
    <w:rsid w:val="00F92D59"/>
    <w:rsid w:val="00F94439"/>
    <w:rsid w:val="00FB04DA"/>
    <w:rsid w:val="00FB11A7"/>
    <w:rsid w:val="00FB3354"/>
    <w:rsid w:val="00FB3860"/>
    <w:rsid w:val="00FB45D4"/>
    <w:rsid w:val="00FB5673"/>
    <w:rsid w:val="00FC0B10"/>
    <w:rsid w:val="00FC141F"/>
    <w:rsid w:val="00FC3319"/>
    <w:rsid w:val="00FC71BC"/>
    <w:rsid w:val="00FE09C7"/>
    <w:rsid w:val="00FE3249"/>
    <w:rsid w:val="00FE3857"/>
    <w:rsid w:val="00FE4BB0"/>
    <w:rsid w:val="00FE5261"/>
    <w:rsid w:val="00FE5424"/>
    <w:rsid w:val="00FE5580"/>
    <w:rsid w:val="00FE5C10"/>
    <w:rsid w:val="00FF0550"/>
    <w:rsid w:val="00FF0E53"/>
    <w:rsid w:val="00FF1541"/>
    <w:rsid w:val="00FF3EE9"/>
    <w:rsid w:val="00FF431D"/>
    <w:rsid w:val="00FF5270"/>
    <w:rsid w:val="00FF58F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Bottom of Form" w:uiPriority="99"/>
    <w:lsdException w:name="Normal (Web)" w:uiPriority="99"/>
    <w:lsdException w:name="HTML Cite"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Standard">
    <w:name w:val="Normal"/>
    <w:qFormat/>
    <w:rsid w:val="00674790"/>
    <w:rPr>
      <w:rFonts w:ascii="Arial" w:hAnsi="Arial"/>
      <w:sz w:val="24"/>
      <w:szCs w:val="24"/>
      <w:lang w:val="de-DE" w:eastAsia="de-DE"/>
    </w:rPr>
  </w:style>
  <w:style w:type="paragraph" w:styleId="berschrift1">
    <w:name w:val="heading 1"/>
    <w:basedOn w:val="Standard"/>
    <w:next w:val="Standard"/>
    <w:link w:val="berschrift1Zchn"/>
    <w:qFormat/>
    <w:rsid w:val="00A05FD1"/>
    <w:pPr>
      <w:keepNext/>
      <w:spacing w:before="240" w:after="60"/>
      <w:outlineLvl w:val="0"/>
    </w:pPr>
    <w:rPr>
      <w:rFonts w:cs="Arial"/>
      <w:b/>
      <w:bCs/>
      <w:kern w:val="32"/>
      <w:sz w:val="32"/>
      <w:szCs w:val="32"/>
    </w:rPr>
  </w:style>
  <w:style w:type="paragraph" w:styleId="berschrift2">
    <w:name w:val="heading 2"/>
    <w:basedOn w:val="Standard"/>
    <w:next w:val="Standard"/>
    <w:qFormat/>
    <w:rsid w:val="00A05FD1"/>
    <w:pPr>
      <w:keepNext/>
      <w:spacing w:before="240" w:after="60"/>
      <w:outlineLvl w:val="1"/>
    </w:pPr>
    <w:rPr>
      <w:rFonts w:cs="Arial"/>
      <w:b/>
      <w:bCs/>
      <w:i/>
      <w:iCs/>
      <w:sz w:val="28"/>
      <w:szCs w:val="28"/>
    </w:rPr>
  </w:style>
  <w:style w:type="paragraph" w:styleId="berschrift3">
    <w:name w:val="heading 3"/>
    <w:basedOn w:val="Standard"/>
    <w:next w:val="Standard"/>
    <w:link w:val="berschrift3Zchn"/>
    <w:qFormat/>
    <w:rsid w:val="00A05FD1"/>
    <w:pPr>
      <w:keepNext/>
      <w:spacing w:before="240" w:after="60"/>
      <w:outlineLvl w:val="2"/>
    </w:pPr>
    <w:rPr>
      <w:rFonts w:cs="Arial"/>
      <w:b/>
      <w:bCs/>
      <w:sz w:val="26"/>
      <w:szCs w:val="26"/>
    </w:rPr>
  </w:style>
  <w:style w:type="paragraph" w:styleId="berschrift4">
    <w:name w:val="heading 4"/>
    <w:basedOn w:val="Standard"/>
    <w:next w:val="Standard"/>
    <w:qFormat/>
    <w:rsid w:val="00C2574F"/>
    <w:pPr>
      <w:keepNext/>
      <w:spacing w:before="240" w:after="60"/>
      <w:outlineLvl w:val="3"/>
    </w:pPr>
    <w:rPr>
      <w:b/>
      <w:bCs/>
      <w:szCs w:val="28"/>
    </w:rPr>
  </w:style>
  <w:style w:type="paragraph" w:styleId="berschrift5">
    <w:name w:val="heading 5"/>
    <w:basedOn w:val="Standard"/>
    <w:next w:val="Standard"/>
    <w:qFormat/>
    <w:rsid w:val="00CF1053"/>
    <w:pPr>
      <w:tabs>
        <w:tab w:val="num" w:pos="1008"/>
      </w:tabs>
      <w:spacing w:before="240" w:after="60"/>
      <w:ind w:left="1008" w:hanging="1008"/>
      <w:outlineLvl w:val="4"/>
    </w:pPr>
    <w:rPr>
      <w:b/>
      <w:bCs/>
      <w:i/>
      <w:iCs/>
      <w:sz w:val="26"/>
      <w:szCs w:val="26"/>
    </w:rPr>
  </w:style>
  <w:style w:type="paragraph" w:styleId="berschrift6">
    <w:name w:val="heading 6"/>
    <w:basedOn w:val="Standard"/>
    <w:next w:val="Standard"/>
    <w:qFormat/>
    <w:rsid w:val="00CF1053"/>
    <w:pPr>
      <w:tabs>
        <w:tab w:val="num" w:pos="1152"/>
      </w:tabs>
      <w:spacing w:before="240" w:after="60"/>
      <w:ind w:left="1152" w:hanging="1152"/>
      <w:outlineLvl w:val="5"/>
    </w:pPr>
    <w:rPr>
      <w:b/>
      <w:bCs/>
      <w:sz w:val="22"/>
      <w:szCs w:val="22"/>
    </w:rPr>
  </w:style>
  <w:style w:type="paragraph" w:styleId="berschrift7">
    <w:name w:val="heading 7"/>
    <w:basedOn w:val="Standard"/>
    <w:next w:val="Standard"/>
    <w:qFormat/>
    <w:rsid w:val="00CF1053"/>
    <w:pPr>
      <w:tabs>
        <w:tab w:val="num" w:pos="1296"/>
      </w:tabs>
      <w:spacing w:before="240" w:after="60"/>
      <w:ind w:left="1296" w:hanging="1296"/>
      <w:outlineLvl w:val="6"/>
    </w:pPr>
  </w:style>
  <w:style w:type="paragraph" w:styleId="berschrift8">
    <w:name w:val="heading 8"/>
    <w:basedOn w:val="Standard"/>
    <w:next w:val="Standard"/>
    <w:qFormat/>
    <w:rsid w:val="00CF1053"/>
    <w:pPr>
      <w:tabs>
        <w:tab w:val="num" w:pos="1440"/>
      </w:tabs>
      <w:spacing w:before="240" w:after="60"/>
      <w:ind w:left="1440" w:hanging="1440"/>
      <w:outlineLvl w:val="7"/>
    </w:pPr>
    <w:rPr>
      <w:i/>
      <w:iCs/>
    </w:rPr>
  </w:style>
  <w:style w:type="paragraph" w:styleId="berschrift9">
    <w:name w:val="heading 9"/>
    <w:basedOn w:val="Standard"/>
    <w:next w:val="Standard"/>
    <w:qFormat/>
    <w:rsid w:val="00CF1053"/>
    <w:pPr>
      <w:tabs>
        <w:tab w:val="num" w:pos="1584"/>
      </w:tabs>
      <w:spacing w:before="240" w:after="60"/>
      <w:ind w:left="1584" w:hanging="1584"/>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Studie">
    <w:name w:val="Ü3 Studie"/>
    <w:basedOn w:val="berschrift3"/>
    <w:next w:val="Standard"/>
    <w:autoRedefine/>
    <w:rsid w:val="00A05FD1"/>
    <w:pPr>
      <w:tabs>
        <w:tab w:val="left" w:pos="4111"/>
        <w:tab w:val="left" w:pos="5529"/>
        <w:tab w:val="left" w:pos="7797"/>
      </w:tabs>
      <w:spacing w:line="360" w:lineRule="auto"/>
      <w:ind w:right="1"/>
    </w:pPr>
    <w:rPr>
      <w:rFonts w:ascii="Times New Roman" w:hAnsi="Times New Roman" w:cs="Times New Roman"/>
      <w:bCs w:val="0"/>
      <w:sz w:val="24"/>
      <w:szCs w:val="20"/>
    </w:rPr>
  </w:style>
  <w:style w:type="paragraph" w:customStyle="1" w:styleId="2Studie">
    <w:name w:val="Ü2 Studie"/>
    <w:basedOn w:val="berschrift2"/>
    <w:next w:val="Standard"/>
    <w:autoRedefine/>
    <w:rsid w:val="00A05FD1"/>
    <w:pPr>
      <w:numPr>
        <w:ilvl w:val="1"/>
        <w:numId w:val="3"/>
      </w:numPr>
      <w:spacing w:line="360" w:lineRule="auto"/>
      <w:jc w:val="both"/>
    </w:pPr>
    <w:rPr>
      <w:rFonts w:ascii="Times New Roman" w:hAnsi="Times New Roman" w:cs="Times New Roman"/>
      <w:bCs w:val="0"/>
      <w:i w:val="0"/>
      <w:iCs w:val="0"/>
      <w:sz w:val="24"/>
      <w:szCs w:val="24"/>
    </w:rPr>
  </w:style>
  <w:style w:type="paragraph" w:customStyle="1" w:styleId="1Studie">
    <w:name w:val="Ü1 Studie"/>
    <w:basedOn w:val="berschrift1"/>
    <w:autoRedefine/>
    <w:rsid w:val="00A05FD1"/>
    <w:pPr>
      <w:numPr>
        <w:numId w:val="2"/>
      </w:numPr>
      <w:overflowPunct w:val="0"/>
      <w:autoSpaceDE w:val="0"/>
      <w:autoSpaceDN w:val="0"/>
      <w:adjustRightInd w:val="0"/>
      <w:spacing w:line="360" w:lineRule="auto"/>
      <w:jc w:val="both"/>
      <w:textAlignment w:val="baseline"/>
    </w:pPr>
    <w:rPr>
      <w:rFonts w:ascii="Times New Roman" w:hAnsi="Times New Roman" w:cs="Times New Roman"/>
      <w:sz w:val="28"/>
    </w:rPr>
  </w:style>
  <w:style w:type="paragraph" w:customStyle="1" w:styleId="4Studie">
    <w:name w:val="Ü4 Studie"/>
    <w:basedOn w:val="berschrift4"/>
    <w:next w:val="Standard"/>
    <w:autoRedefine/>
    <w:rsid w:val="00A05FD1"/>
    <w:pPr>
      <w:numPr>
        <w:ilvl w:val="3"/>
        <w:numId w:val="1"/>
      </w:numPr>
      <w:tabs>
        <w:tab w:val="left" w:pos="284"/>
        <w:tab w:val="left" w:pos="1134"/>
        <w:tab w:val="left" w:pos="4111"/>
        <w:tab w:val="left" w:pos="5529"/>
        <w:tab w:val="left" w:pos="7797"/>
      </w:tabs>
      <w:overflowPunct w:val="0"/>
      <w:autoSpaceDE w:val="0"/>
      <w:autoSpaceDN w:val="0"/>
      <w:adjustRightInd w:val="0"/>
      <w:spacing w:line="360" w:lineRule="auto"/>
      <w:ind w:right="1"/>
      <w:textAlignment w:val="baseline"/>
    </w:pPr>
    <w:rPr>
      <w:bCs w:val="0"/>
      <w:szCs w:val="20"/>
    </w:rPr>
  </w:style>
  <w:style w:type="paragraph" w:styleId="Verzeichnis1">
    <w:name w:val="toc 1"/>
    <w:basedOn w:val="Standard"/>
    <w:next w:val="Standard"/>
    <w:autoRedefine/>
    <w:uiPriority w:val="39"/>
    <w:rsid w:val="00CF1053"/>
    <w:rPr>
      <w:lang w:eastAsia="en-US"/>
    </w:rPr>
  </w:style>
  <w:style w:type="paragraph" w:styleId="Fuzeile">
    <w:name w:val="footer"/>
    <w:basedOn w:val="Standard"/>
    <w:rsid w:val="00CF1053"/>
    <w:pPr>
      <w:tabs>
        <w:tab w:val="center" w:pos="4536"/>
        <w:tab w:val="right" w:pos="9072"/>
      </w:tabs>
    </w:pPr>
    <w:rPr>
      <w:lang w:eastAsia="en-US"/>
    </w:rPr>
  </w:style>
  <w:style w:type="character" w:styleId="Seitenzahl">
    <w:name w:val="page number"/>
    <w:basedOn w:val="Absatz-Standardschriftart"/>
    <w:rsid w:val="00CF1053"/>
  </w:style>
  <w:style w:type="paragraph" w:styleId="Verzeichnis2">
    <w:name w:val="toc 2"/>
    <w:basedOn w:val="Standard"/>
    <w:next w:val="Standard"/>
    <w:autoRedefine/>
    <w:uiPriority w:val="39"/>
    <w:rsid w:val="00CF1053"/>
    <w:pPr>
      <w:ind w:left="240"/>
    </w:pPr>
    <w:rPr>
      <w:lang w:eastAsia="en-US"/>
    </w:rPr>
  </w:style>
  <w:style w:type="character" w:styleId="Hyperlink">
    <w:name w:val="Hyperlink"/>
    <w:uiPriority w:val="99"/>
    <w:rsid w:val="00CF1053"/>
    <w:rPr>
      <w:color w:val="0000FF"/>
      <w:u w:val="single"/>
    </w:rPr>
  </w:style>
  <w:style w:type="paragraph" w:styleId="Verzeichnis3">
    <w:name w:val="toc 3"/>
    <w:basedOn w:val="Standard"/>
    <w:next w:val="Standard"/>
    <w:autoRedefine/>
    <w:uiPriority w:val="39"/>
    <w:rsid w:val="00CF1053"/>
    <w:pPr>
      <w:ind w:left="480"/>
    </w:pPr>
    <w:rPr>
      <w:lang w:eastAsia="en-US"/>
    </w:rPr>
  </w:style>
  <w:style w:type="paragraph" w:styleId="Kopfzeile">
    <w:name w:val="header"/>
    <w:basedOn w:val="Standard"/>
    <w:rsid w:val="00CF1053"/>
    <w:pPr>
      <w:tabs>
        <w:tab w:val="left" w:pos="284"/>
        <w:tab w:val="left" w:pos="1134"/>
        <w:tab w:val="left" w:pos="4111"/>
        <w:tab w:val="center" w:pos="4536"/>
        <w:tab w:val="left" w:pos="5529"/>
        <w:tab w:val="left" w:pos="7797"/>
        <w:tab w:val="right" w:pos="9072"/>
      </w:tabs>
      <w:ind w:right="1"/>
    </w:pPr>
    <w:rPr>
      <w:szCs w:val="20"/>
    </w:rPr>
  </w:style>
  <w:style w:type="paragraph" w:customStyle="1" w:styleId="Formatvorlageberschrift2TimesNewRoman">
    <w:name w:val="Formatvorlage Überschrift 2 + Times New Roman"/>
    <w:basedOn w:val="berschrift2"/>
    <w:autoRedefine/>
    <w:rsid w:val="00CF1053"/>
    <w:rPr>
      <w:rFonts w:ascii="Times New Roman" w:hAnsi="Times New Roman" w:cs="Times New Roman"/>
      <w:b w:val="0"/>
      <w:bCs w:val="0"/>
      <w:i w:val="0"/>
      <w:iCs w:val="0"/>
      <w:sz w:val="20"/>
      <w:szCs w:val="24"/>
      <w:u w:val="single"/>
    </w:rPr>
  </w:style>
  <w:style w:type="character" w:customStyle="1" w:styleId="berschrift1Zchn">
    <w:name w:val="Überschrift 1 Zchn"/>
    <w:link w:val="berschrift1"/>
    <w:rsid w:val="00CF1053"/>
    <w:rPr>
      <w:rFonts w:ascii="Arial" w:hAnsi="Arial" w:cs="Arial"/>
      <w:b/>
      <w:bCs/>
      <w:kern w:val="32"/>
      <w:sz w:val="32"/>
      <w:szCs w:val="32"/>
      <w:lang w:val="de-AT" w:eastAsia="de-AT" w:bidi="ar-SA"/>
    </w:rPr>
  </w:style>
  <w:style w:type="character" w:customStyle="1" w:styleId="berschrift3Zchn">
    <w:name w:val="Überschrift 3 Zchn"/>
    <w:link w:val="berschrift3"/>
    <w:rsid w:val="00CF1053"/>
    <w:rPr>
      <w:rFonts w:ascii="Arial" w:hAnsi="Arial" w:cs="Arial"/>
      <w:b/>
      <w:bCs/>
      <w:sz w:val="26"/>
      <w:szCs w:val="26"/>
      <w:lang w:val="de-AT" w:eastAsia="de-AT" w:bidi="ar-SA"/>
    </w:rPr>
  </w:style>
  <w:style w:type="paragraph" w:styleId="Sprechblasentext">
    <w:name w:val="Balloon Text"/>
    <w:basedOn w:val="Standard"/>
    <w:semiHidden/>
    <w:rsid w:val="000020B5"/>
    <w:rPr>
      <w:rFonts w:ascii="Tahoma" w:hAnsi="Tahoma" w:cs="Tahoma"/>
      <w:sz w:val="16"/>
      <w:szCs w:val="16"/>
    </w:rPr>
  </w:style>
  <w:style w:type="character" w:styleId="BesuchterHyperlink">
    <w:name w:val="FollowedHyperlink"/>
    <w:rsid w:val="004C68DD"/>
    <w:rPr>
      <w:color w:val="606420"/>
      <w:u w:val="single"/>
    </w:rPr>
  </w:style>
  <w:style w:type="table" w:styleId="Tabellenraster">
    <w:name w:val="Table Grid"/>
    <w:basedOn w:val="NormaleTabelle"/>
    <w:rsid w:val="00F70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7C5587"/>
    <w:pPr>
      <w:ind w:left="708"/>
    </w:pPr>
  </w:style>
  <w:style w:type="paragraph" w:styleId="Titel">
    <w:name w:val="Title"/>
    <w:basedOn w:val="Standard"/>
    <w:next w:val="Standard"/>
    <w:link w:val="TitelZchn"/>
    <w:qFormat/>
    <w:rsid w:val="000119C3"/>
    <w:pPr>
      <w:spacing w:before="240" w:after="60"/>
      <w:jc w:val="center"/>
      <w:outlineLvl w:val="0"/>
    </w:pPr>
    <w:rPr>
      <w:rFonts w:ascii="Cambria" w:hAnsi="Cambria"/>
      <w:b/>
      <w:bCs/>
      <w:kern w:val="28"/>
      <w:sz w:val="32"/>
      <w:szCs w:val="32"/>
    </w:rPr>
  </w:style>
  <w:style w:type="character" w:customStyle="1" w:styleId="TitelZchn">
    <w:name w:val="Titel Zchn"/>
    <w:link w:val="Titel"/>
    <w:rsid w:val="000119C3"/>
    <w:rPr>
      <w:rFonts w:ascii="Cambria" w:eastAsia="Times New Roman" w:hAnsi="Cambria" w:cs="Times New Roman"/>
      <w:b/>
      <w:bCs/>
      <w:kern w:val="28"/>
      <w:sz w:val="32"/>
      <w:szCs w:val="32"/>
      <w:lang w:val="de-DE" w:eastAsia="de-DE"/>
    </w:rPr>
  </w:style>
  <w:style w:type="paragraph" w:styleId="StandardWeb">
    <w:name w:val="Normal (Web)"/>
    <w:basedOn w:val="Standard"/>
    <w:uiPriority w:val="99"/>
    <w:unhideWhenUsed/>
    <w:rsid w:val="001167BA"/>
    <w:pPr>
      <w:spacing w:before="100" w:beforeAutospacing="1" w:after="100" w:afterAutospacing="1"/>
    </w:pPr>
    <w:rPr>
      <w:lang w:val="en-US" w:eastAsia="en-US"/>
    </w:rPr>
  </w:style>
  <w:style w:type="paragraph" w:styleId="Textkrper2">
    <w:name w:val="Body Text 2"/>
    <w:basedOn w:val="Standard"/>
    <w:link w:val="Textkrper2Zchn"/>
    <w:rsid w:val="004D04AC"/>
    <w:pPr>
      <w:spacing w:line="280" w:lineRule="exact"/>
      <w:jc w:val="both"/>
    </w:pPr>
    <w:rPr>
      <w:szCs w:val="20"/>
      <w:lang w:val="de-AT"/>
    </w:rPr>
  </w:style>
  <w:style w:type="character" w:customStyle="1" w:styleId="Textkrper2Zchn">
    <w:name w:val="Textkörper 2 Zchn"/>
    <w:link w:val="Textkrper2"/>
    <w:rsid w:val="004D04AC"/>
    <w:rPr>
      <w:sz w:val="24"/>
      <w:lang w:val="de-AT" w:eastAsia="de-DE"/>
    </w:rPr>
  </w:style>
  <w:style w:type="paragraph" w:customStyle="1" w:styleId="Default">
    <w:name w:val="Default"/>
    <w:rsid w:val="004D04AC"/>
    <w:pPr>
      <w:autoSpaceDE w:val="0"/>
      <w:autoSpaceDN w:val="0"/>
      <w:adjustRightInd w:val="0"/>
    </w:pPr>
    <w:rPr>
      <w:rFonts w:ascii="Arial" w:hAnsi="Arial" w:cs="Arial"/>
      <w:color w:val="000000"/>
      <w:sz w:val="24"/>
      <w:szCs w:val="24"/>
    </w:rPr>
  </w:style>
  <w:style w:type="character" w:styleId="Hervorhebung">
    <w:name w:val="Emphasis"/>
    <w:uiPriority w:val="20"/>
    <w:qFormat/>
    <w:rsid w:val="008E2C10"/>
    <w:rPr>
      <w:b/>
      <w:bCs/>
      <w:i w:val="0"/>
      <w:iCs w:val="0"/>
    </w:rPr>
  </w:style>
  <w:style w:type="paragraph" w:styleId="NurText">
    <w:name w:val="Plain Text"/>
    <w:basedOn w:val="Standard"/>
    <w:link w:val="NurTextZchn"/>
    <w:uiPriority w:val="99"/>
    <w:unhideWhenUsed/>
    <w:rsid w:val="00E6054B"/>
    <w:rPr>
      <w:rFonts w:ascii="Calibri" w:eastAsia="Calibri" w:hAnsi="Calibri"/>
      <w:sz w:val="22"/>
      <w:szCs w:val="21"/>
      <w:lang w:val="en-US" w:eastAsia="en-US"/>
    </w:rPr>
  </w:style>
  <w:style w:type="character" w:customStyle="1" w:styleId="NurTextZchn">
    <w:name w:val="Nur Text Zchn"/>
    <w:link w:val="NurText"/>
    <w:uiPriority w:val="99"/>
    <w:rsid w:val="00E6054B"/>
    <w:rPr>
      <w:rFonts w:ascii="Calibri" w:eastAsia="Calibri" w:hAnsi="Calibri"/>
      <w:sz w:val="22"/>
      <w:szCs w:val="21"/>
    </w:rPr>
  </w:style>
  <w:style w:type="character" w:styleId="Fett">
    <w:name w:val="Strong"/>
    <w:uiPriority w:val="22"/>
    <w:qFormat/>
    <w:rsid w:val="00D83600"/>
    <w:rPr>
      <w:b/>
      <w:bCs/>
    </w:rPr>
  </w:style>
  <w:style w:type="paragraph" w:customStyle="1" w:styleId="indent">
    <w:name w:val="indent"/>
    <w:basedOn w:val="Standard"/>
    <w:rsid w:val="00097BB9"/>
    <w:pPr>
      <w:spacing w:before="100" w:beforeAutospacing="1" w:after="100" w:afterAutospacing="1"/>
    </w:pPr>
    <w:rPr>
      <w:lang w:val="en-US" w:eastAsia="en-US"/>
    </w:rPr>
  </w:style>
  <w:style w:type="paragraph" w:styleId="Funotentext">
    <w:name w:val="footnote text"/>
    <w:basedOn w:val="Standard"/>
    <w:link w:val="FunotentextZchn"/>
    <w:rsid w:val="0055485F"/>
    <w:rPr>
      <w:sz w:val="20"/>
      <w:szCs w:val="20"/>
    </w:rPr>
  </w:style>
  <w:style w:type="character" w:customStyle="1" w:styleId="FunotentextZchn">
    <w:name w:val="Fußnotentext Zchn"/>
    <w:link w:val="Funotentext"/>
    <w:rsid w:val="0055485F"/>
    <w:rPr>
      <w:lang w:val="de-DE" w:eastAsia="de-DE"/>
    </w:rPr>
  </w:style>
  <w:style w:type="character" w:styleId="Funotenzeichen">
    <w:name w:val="footnote reference"/>
    <w:rsid w:val="0055485F"/>
    <w:rPr>
      <w:vertAlign w:val="superscript"/>
    </w:rPr>
  </w:style>
  <w:style w:type="character" w:styleId="HTMLZitat">
    <w:name w:val="HTML Cite"/>
    <w:uiPriority w:val="99"/>
    <w:unhideWhenUsed/>
    <w:rsid w:val="00AC37F5"/>
    <w:rPr>
      <w:i/>
      <w:iCs/>
    </w:rPr>
  </w:style>
  <w:style w:type="paragraph" w:customStyle="1" w:styleId="12PromKlEinlSatz">
    <w:name w:val="12_PromKl_EinlSatz"/>
    <w:basedOn w:val="Standard"/>
    <w:next w:val="41UeberschrG1"/>
    <w:rsid w:val="00AC37F5"/>
    <w:pPr>
      <w:keepNext/>
      <w:spacing w:before="160" w:line="220" w:lineRule="exact"/>
      <w:ind w:firstLine="397"/>
      <w:jc w:val="both"/>
    </w:pPr>
    <w:rPr>
      <w:color w:val="000000"/>
      <w:sz w:val="20"/>
      <w:szCs w:val="20"/>
      <w:lang w:val="de-AT" w:eastAsia="de-AT"/>
    </w:rPr>
  </w:style>
  <w:style w:type="paragraph" w:customStyle="1" w:styleId="11Titel">
    <w:name w:val="11_Titel"/>
    <w:basedOn w:val="Standard"/>
    <w:next w:val="12PromKlEinlSatz"/>
    <w:rsid w:val="00AC37F5"/>
    <w:pPr>
      <w:suppressAutoHyphens/>
      <w:spacing w:before="480" w:line="220" w:lineRule="exact"/>
      <w:jc w:val="both"/>
    </w:pPr>
    <w:rPr>
      <w:b/>
      <w:color w:val="000000"/>
      <w:sz w:val="22"/>
      <w:szCs w:val="20"/>
      <w:lang w:val="de-AT" w:eastAsia="de-AT"/>
    </w:rPr>
  </w:style>
  <w:style w:type="paragraph" w:customStyle="1" w:styleId="09Abstand">
    <w:name w:val="09_Abstand"/>
    <w:basedOn w:val="Standard"/>
    <w:rsid w:val="00AC37F5"/>
    <w:pPr>
      <w:spacing w:line="200" w:lineRule="exact"/>
    </w:pPr>
    <w:rPr>
      <w:color w:val="000000"/>
      <w:sz w:val="20"/>
      <w:szCs w:val="20"/>
      <w:lang w:val="de-AT" w:eastAsia="de-AT"/>
    </w:rPr>
  </w:style>
  <w:style w:type="paragraph" w:customStyle="1" w:styleId="41UeberschrG1">
    <w:name w:val="41_UeberschrG1"/>
    <w:basedOn w:val="Standard"/>
    <w:next w:val="Standard"/>
    <w:rsid w:val="00AC37F5"/>
    <w:pPr>
      <w:keepNext/>
      <w:spacing w:before="320" w:line="220" w:lineRule="exact"/>
      <w:jc w:val="center"/>
    </w:pPr>
    <w:rPr>
      <w:b/>
      <w:color w:val="000000"/>
      <w:sz w:val="22"/>
      <w:szCs w:val="20"/>
      <w:lang w:val="de-AT" w:eastAsia="de-AT"/>
    </w:rPr>
  </w:style>
  <w:style w:type="paragraph" w:customStyle="1" w:styleId="45UeberschrPara">
    <w:name w:val="45_UeberschrPara"/>
    <w:basedOn w:val="Standard"/>
    <w:next w:val="51Abs"/>
    <w:qFormat/>
    <w:rsid w:val="00AC37F5"/>
    <w:pPr>
      <w:keepNext/>
      <w:spacing w:before="80" w:line="220" w:lineRule="exact"/>
      <w:jc w:val="center"/>
    </w:pPr>
    <w:rPr>
      <w:b/>
      <w:color w:val="000000"/>
      <w:sz w:val="20"/>
      <w:szCs w:val="20"/>
      <w:lang w:val="de-AT" w:eastAsia="de-AT"/>
    </w:rPr>
  </w:style>
  <w:style w:type="paragraph" w:customStyle="1" w:styleId="43UeberschrG2">
    <w:name w:val="43_UeberschrG2"/>
    <w:basedOn w:val="Standard"/>
    <w:next w:val="45UeberschrPara"/>
    <w:rsid w:val="00AC37F5"/>
    <w:pPr>
      <w:keepNext/>
      <w:spacing w:before="80" w:after="80" w:line="220" w:lineRule="exact"/>
      <w:jc w:val="center"/>
    </w:pPr>
    <w:rPr>
      <w:b/>
      <w:color w:val="000000"/>
      <w:sz w:val="22"/>
      <w:szCs w:val="20"/>
      <w:lang w:val="de-AT" w:eastAsia="de-AT"/>
    </w:rPr>
  </w:style>
  <w:style w:type="paragraph" w:customStyle="1" w:styleId="51Abs">
    <w:name w:val="51_Abs"/>
    <w:basedOn w:val="Standard"/>
    <w:qFormat/>
    <w:rsid w:val="00AC37F5"/>
    <w:pPr>
      <w:spacing w:before="80" w:line="220" w:lineRule="exact"/>
      <w:ind w:firstLine="397"/>
      <w:jc w:val="both"/>
    </w:pPr>
    <w:rPr>
      <w:color w:val="000000"/>
      <w:sz w:val="20"/>
      <w:szCs w:val="20"/>
      <w:lang w:val="de-AT" w:eastAsia="de-AT"/>
    </w:rPr>
  </w:style>
  <w:style w:type="paragraph" w:customStyle="1" w:styleId="52Ziffere1">
    <w:name w:val="52_Ziffer_e1"/>
    <w:basedOn w:val="Standard"/>
    <w:qFormat/>
    <w:rsid w:val="00AC37F5"/>
    <w:pPr>
      <w:tabs>
        <w:tab w:val="right" w:pos="624"/>
        <w:tab w:val="left" w:pos="680"/>
      </w:tabs>
      <w:spacing w:before="40" w:line="220" w:lineRule="exact"/>
      <w:ind w:left="680" w:hanging="680"/>
      <w:jc w:val="both"/>
    </w:pPr>
    <w:rPr>
      <w:color w:val="000000"/>
      <w:sz w:val="20"/>
      <w:szCs w:val="20"/>
      <w:lang w:val="de-AT" w:eastAsia="de-AT"/>
    </w:rPr>
  </w:style>
  <w:style w:type="paragraph" w:customStyle="1" w:styleId="55SchlussteilAbs">
    <w:name w:val="55_SchlussteilAbs"/>
    <w:basedOn w:val="Standard"/>
    <w:next w:val="51Abs"/>
    <w:rsid w:val="00AC37F5"/>
    <w:pPr>
      <w:spacing w:before="40" w:line="220" w:lineRule="exact"/>
      <w:jc w:val="both"/>
    </w:pPr>
    <w:rPr>
      <w:color w:val="000000"/>
      <w:sz w:val="20"/>
      <w:szCs w:val="20"/>
      <w:lang w:val="de-AT" w:eastAsia="de-AT"/>
    </w:rPr>
  </w:style>
  <w:style w:type="paragraph" w:customStyle="1" w:styleId="71Anlagenbez">
    <w:name w:val="71_Anlagenbez"/>
    <w:basedOn w:val="Standard"/>
    <w:rsid w:val="00AC37F5"/>
    <w:pPr>
      <w:spacing w:before="160" w:line="220" w:lineRule="exact"/>
      <w:jc w:val="right"/>
    </w:pPr>
    <w:rPr>
      <w:b/>
      <w:color w:val="000000"/>
      <w:sz w:val="22"/>
      <w:szCs w:val="20"/>
      <w:lang w:val="de-AT" w:eastAsia="de-AT"/>
    </w:rPr>
  </w:style>
  <w:style w:type="paragraph" w:customStyle="1" w:styleId="83ErlText">
    <w:name w:val="83_ErlText"/>
    <w:basedOn w:val="Standard"/>
    <w:rsid w:val="00AC37F5"/>
    <w:pPr>
      <w:spacing w:before="80" w:line="220" w:lineRule="exact"/>
      <w:jc w:val="both"/>
    </w:pPr>
    <w:rPr>
      <w:color w:val="000000"/>
      <w:sz w:val="20"/>
      <w:szCs w:val="20"/>
      <w:lang w:val="de-AT" w:eastAsia="de-AT"/>
    </w:rPr>
  </w:style>
  <w:style w:type="paragraph" w:customStyle="1" w:styleId="81ErlUeberschrZ">
    <w:name w:val="81_ErlUeberschrZ"/>
    <w:basedOn w:val="Standard"/>
    <w:next w:val="83ErlText"/>
    <w:rsid w:val="00AC37F5"/>
    <w:pPr>
      <w:keepNext/>
      <w:spacing w:before="320" w:line="220" w:lineRule="exact"/>
      <w:jc w:val="center"/>
    </w:pPr>
    <w:rPr>
      <w:b/>
      <w:color w:val="000000"/>
      <w:sz w:val="22"/>
      <w:szCs w:val="20"/>
      <w:lang w:val="de-AT" w:eastAsia="de-AT"/>
    </w:rPr>
  </w:style>
  <w:style w:type="character" w:customStyle="1" w:styleId="991GldSymbol">
    <w:name w:val="991_GldSymbol"/>
    <w:rsid w:val="00AC37F5"/>
    <w:rPr>
      <w:b/>
      <w:bCs w:val="0"/>
      <w:color w:val="000000"/>
    </w:rPr>
  </w:style>
  <w:style w:type="paragraph" w:customStyle="1" w:styleId="ueberschrpara">
    <w:name w:val="ueberschrpara"/>
    <w:basedOn w:val="Standard"/>
    <w:rsid w:val="00AC37F5"/>
    <w:pPr>
      <w:keepNext/>
      <w:snapToGrid w:val="0"/>
      <w:spacing w:before="80" w:line="220" w:lineRule="atLeast"/>
    </w:pPr>
    <w:rPr>
      <w:b/>
      <w:bCs/>
      <w:color w:val="000000"/>
      <w:sz w:val="20"/>
      <w:szCs w:val="20"/>
      <w:lang w:val="en-US" w:eastAsia="en-US"/>
    </w:rPr>
  </w:style>
  <w:style w:type="paragraph" w:customStyle="1" w:styleId="abs">
    <w:name w:val="abs"/>
    <w:basedOn w:val="Standard"/>
    <w:rsid w:val="00AC37F5"/>
    <w:pPr>
      <w:snapToGrid w:val="0"/>
      <w:spacing w:before="80" w:line="288" w:lineRule="auto"/>
      <w:ind w:firstLine="397"/>
    </w:pPr>
    <w:rPr>
      <w:color w:val="000000"/>
      <w:sz w:val="20"/>
      <w:szCs w:val="20"/>
      <w:lang w:val="en-US" w:eastAsia="en-US"/>
    </w:rPr>
  </w:style>
  <w:style w:type="paragraph" w:customStyle="1" w:styleId="ziffere1">
    <w:name w:val="ziffere1"/>
    <w:basedOn w:val="Standard"/>
    <w:rsid w:val="00AC37F5"/>
    <w:pPr>
      <w:snapToGrid w:val="0"/>
      <w:spacing w:before="40" w:line="220" w:lineRule="atLeast"/>
    </w:pPr>
    <w:rPr>
      <w:color w:val="000000"/>
      <w:sz w:val="20"/>
      <w:szCs w:val="20"/>
      <w:lang w:val="en-US" w:eastAsia="en-US"/>
    </w:rPr>
  </w:style>
  <w:style w:type="character" w:customStyle="1" w:styleId="gldsymbol">
    <w:name w:val="gldsymbol"/>
    <w:rsid w:val="00AC37F5"/>
    <w:rPr>
      <w:b/>
      <w:bCs/>
    </w:rPr>
  </w:style>
  <w:style w:type="paragraph" w:styleId="z-Formularende">
    <w:name w:val="HTML Bottom of Form"/>
    <w:basedOn w:val="Standard"/>
    <w:next w:val="Standard"/>
    <w:link w:val="z-FormularendeZchn"/>
    <w:hidden/>
    <w:uiPriority w:val="99"/>
    <w:unhideWhenUsed/>
    <w:rsid w:val="00C16DBB"/>
    <w:pPr>
      <w:pBdr>
        <w:top w:val="single" w:sz="6" w:space="1" w:color="auto"/>
      </w:pBdr>
      <w:jc w:val="center"/>
    </w:pPr>
    <w:rPr>
      <w:rFonts w:cs="Arial"/>
      <w:vanish/>
      <w:sz w:val="16"/>
      <w:szCs w:val="16"/>
      <w:lang w:val="en-US" w:eastAsia="en-US"/>
    </w:rPr>
  </w:style>
  <w:style w:type="character" w:customStyle="1" w:styleId="z-FormularendeZchn">
    <w:name w:val="z-Formularende Zchn"/>
    <w:link w:val="z-Formularende"/>
    <w:uiPriority w:val="99"/>
    <w:rsid w:val="00C16DBB"/>
    <w:rPr>
      <w:rFonts w:ascii="Arial" w:hAnsi="Arial" w:cs="Arial"/>
      <w:vanish/>
      <w:sz w:val="16"/>
      <w:szCs w:val="16"/>
    </w:rPr>
  </w:style>
  <w:style w:type="paragraph" w:styleId="Listenabsatz">
    <w:name w:val="List Paragraph"/>
    <w:basedOn w:val="Standard"/>
    <w:uiPriority w:val="34"/>
    <w:qFormat/>
    <w:rsid w:val="00DF38B1"/>
    <w:pPr>
      <w:ind w:left="720"/>
      <w:contextualSpacing/>
    </w:pPr>
    <w:rPr>
      <w:rFonts w:ascii="Calibri" w:eastAsia="Calibri" w:hAnsi="Calibri"/>
      <w:lang w:val="de-AT" w:eastAsia="en-US"/>
    </w:rPr>
  </w:style>
  <w:style w:type="paragraph" w:customStyle="1" w:styleId="printable-content">
    <w:name w:val="printable-content"/>
    <w:basedOn w:val="Standard"/>
    <w:rsid w:val="00C2124D"/>
    <w:pPr>
      <w:spacing w:before="100" w:beforeAutospacing="1" w:after="100" w:afterAutospacing="1"/>
    </w:pPr>
    <w:rPr>
      <w:lang w:val="en-US" w:eastAsia="en-US"/>
    </w:rPr>
  </w:style>
  <w:style w:type="character" w:customStyle="1" w:styleId="multilink">
    <w:name w:val="multilink"/>
    <w:rsid w:val="00C2124D"/>
  </w:style>
  <w:style w:type="character" w:customStyle="1" w:styleId="multilink-targets">
    <w:name w:val="multilink-targets"/>
    <w:rsid w:val="00C2124D"/>
  </w:style>
  <w:style w:type="paragraph" w:customStyle="1" w:styleId="aufz1">
    <w:name w:val="aufz1"/>
    <w:basedOn w:val="Standard"/>
    <w:rsid w:val="00C2124D"/>
    <w:pPr>
      <w:spacing w:before="100" w:beforeAutospacing="1" w:after="100" w:afterAutospacing="1"/>
    </w:pPr>
    <w:rPr>
      <w:lang w:val="en-US" w:eastAsia="en-US"/>
    </w:rPr>
  </w:style>
  <w:style w:type="paragraph" w:customStyle="1" w:styleId="Eingabe">
    <w:name w:val="Eingabe"/>
    <w:basedOn w:val="Standard"/>
    <w:qFormat/>
    <w:rsid w:val="006B0CFF"/>
    <w:pPr>
      <w:spacing w:before="200"/>
      <w:textAlignment w:val="baseline"/>
    </w:pPr>
    <w:rPr>
      <w:sz w:val="20"/>
      <w:szCs w:val="20"/>
      <w:lang w:val="de-AT" w:eastAsia="en-US"/>
    </w:rPr>
  </w:style>
  <w:style w:type="paragraph" w:styleId="Beschriftung">
    <w:name w:val="caption"/>
    <w:basedOn w:val="Standard"/>
    <w:next w:val="Standard"/>
    <w:unhideWhenUsed/>
    <w:qFormat/>
    <w:rsid w:val="00BD1BEF"/>
    <w:pPr>
      <w:tabs>
        <w:tab w:val="left" w:pos="284"/>
        <w:tab w:val="left" w:pos="1134"/>
        <w:tab w:val="left" w:pos="4111"/>
        <w:tab w:val="left" w:pos="5529"/>
        <w:tab w:val="left" w:pos="7797"/>
      </w:tabs>
      <w:spacing w:after="200"/>
      <w:ind w:right="1"/>
    </w:pPr>
    <w:rPr>
      <w:b/>
      <w:bCs/>
      <w:color w:val="4F81BD"/>
      <w:sz w:val="18"/>
      <w:szCs w:val="18"/>
    </w:rPr>
  </w:style>
  <w:style w:type="paragraph" w:customStyle="1" w:styleId="ueberschrg1">
    <w:name w:val="ueberschrg1"/>
    <w:basedOn w:val="Standard"/>
    <w:rsid w:val="00C7108E"/>
    <w:pPr>
      <w:spacing w:before="100" w:beforeAutospacing="1" w:after="100" w:afterAutospacing="1"/>
    </w:pPr>
    <w:rPr>
      <w:lang w:val="de-AT" w:eastAsia="de-AT"/>
    </w:rPr>
  </w:style>
  <w:style w:type="paragraph" w:customStyle="1" w:styleId="tabtext">
    <w:name w:val="tabtext"/>
    <w:basedOn w:val="Standard"/>
    <w:rsid w:val="00C7108E"/>
    <w:pPr>
      <w:spacing w:before="100" w:beforeAutospacing="1" w:after="100" w:afterAutospacing="1"/>
    </w:pPr>
    <w:rPr>
      <w:lang w:val="de-AT" w:eastAsia="de-AT"/>
    </w:rPr>
  </w:style>
  <w:style w:type="paragraph" w:customStyle="1" w:styleId="abstand">
    <w:name w:val="abstand"/>
    <w:basedOn w:val="Standard"/>
    <w:rsid w:val="00C7108E"/>
    <w:pPr>
      <w:spacing w:before="100" w:beforeAutospacing="1" w:after="100" w:afterAutospacing="1"/>
    </w:pPr>
    <w:rPr>
      <w:lang w:val="de-AT" w:eastAsia="de-AT"/>
    </w:rPr>
  </w:style>
  <w:style w:type="character" w:customStyle="1" w:styleId="fett0">
    <w:name w:val="fett"/>
    <w:basedOn w:val="Absatz-Standardschriftart"/>
    <w:rsid w:val="00C710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Bottom of Form" w:uiPriority="99"/>
    <w:lsdException w:name="Normal (Web)" w:uiPriority="99"/>
    <w:lsdException w:name="HTML Cite"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Standard">
    <w:name w:val="Normal"/>
    <w:qFormat/>
    <w:rsid w:val="00674790"/>
    <w:rPr>
      <w:rFonts w:ascii="Arial" w:hAnsi="Arial"/>
      <w:sz w:val="24"/>
      <w:szCs w:val="24"/>
      <w:lang w:val="de-DE" w:eastAsia="de-DE"/>
    </w:rPr>
  </w:style>
  <w:style w:type="paragraph" w:styleId="berschrift1">
    <w:name w:val="heading 1"/>
    <w:basedOn w:val="Standard"/>
    <w:next w:val="Standard"/>
    <w:link w:val="berschrift1Zchn"/>
    <w:qFormat/>
    <w:rsid w:val="00A05FD1"/>
    <w:pPr>
      <w:keepNext/>
      <w:spacing w:before="240" w:after="60"/>
      <w:outlineLvl w:val="0"/>
    </w:pPr>
    <w:rPr>
      <w:rFonts w:cs="Arial"/>
      <w:b/>
      <w:bCs/>
      <w:kern w:val="32"/>
      <w:sz w:val="32"/>
      <w:szCs w:val="32"/>
    </w:rPr>
  </w:style>
  <w:style w:type="paragraph" w:styleId="berschrift2">
    <w:name w:val="heading 2"/>
    <w:basedOn w:val="Standard"/>
    <w:next w:val="Standard"/>
    <w:qFormat/>
    <w:rsid w:val="00A05FD1"/>
    <w:pPr>
      <w:keepNext/>
      <w:spacing w:before="240" w:after="60"/>
      <w:outlineLvl w:val="1"/>
    </w:pPr>
    <w:rPr>
      <w:rFonts w:cs="Arial"/>
      <w:b/>
      <w:bCs/>
      <w:i/>
      <w:iCs/>
      <w:sz w:val="28"/>
      <w:szCs w:val="28"/>
    </w:rPr>
  </w:style>
  <w:style w:type="paragraph" w:styleId="berschrift3">
    <w:name w:val="heading 3"/>
    <w:basedOn w:val="Standard"/>
    <w:next w:val="Standard"/>
    <w:link w:val="berschrift3Zchn"/>
    <w:qFormat/>
    <w:rsid w:val="00A05FD1"/>
    <w:pPr>
      <w:keepNext/>
      <w:spacing w:before="240" w:after="60"/>
      <w:outlineLvl w:val="2"/>
    </w:pPr>
    <w:rPr>
      <w:rFonts w:cs="Arial"/>
      <w:b/>
      <w:bCs/>
      <w:sz w:val="26"/>
      <w:szCs w:val="26"/>
    </w:rPr>
  </w:style>
  <w:style w:type="paragraph" w:styleId="berschrift4">
    <w:name w:val="heading 4"/>
    <w:basedOn w:val="Standard"/>
    <w:next w:val="Standard"/>
    <w:qFormat/>
    <w:rsid w:val="00C2574F"/>
    <w:pPr>
      <w:keepNext/>
      <w:spacing w:before="240" w:after="60"/>
      <w:outlineLvl w:val="3"/>
    </w:pPr>
    <w:rPr>
      <w:b/>
      <w:bCs/>
      <w:szCs w:val="28"/>
    </w:rPr>
  </w:style>
  <w:style w:type="paragraph" w:styleId="berschrift5">
    <w:name w:val="heading 5"/>
    <w:basedOn w:val="Standard"/>
    <w:next w:val="Standard"/>
    <w:qFormat/>
    <w:rsid w:val="00CF1053"/>
    <w:pPr>
      <w:tabs>
        <w:tab w:val="num" w:pos="1008"/>
      </w:tabs>
      <w:spacing w:before="240" w:after="60"/>
      <w:ind w:left="1008" w:hanging="1008"/>
      <w:outlineLvl w:val="4"/>
    </w:pPr>
    <w:rPr>
      <w:b/>
      <w:bCs/>
      <w:i/>
      <w:iCs/>
      <w:sz w:val="26"/>
      <w:szCs w:val="26"/>
    </w:rPr>
  </w:style>
  <w:style w:type="paragraph" w:styleId="berschrift6">
    <w:name w:val="heading 6"/>
    <w:basedOn w:val="Standard"/>
    <w:next w:val="Standard"/>
    <w:qFormat/>
    <w:rsid w:val="00CF1053"/>
    <w:pPr>
      <w:tabs>
        <w:tab w:val="num" w:pos="1152"/>
      </w:tabs>
      <w:spacing w:before="240" w:after="60"/>
      <w:ind w:left="1152" w:hanging="1152"/>
      <w:outlineLvl w:val="5"/>
    </w:pPr>
    <w:rPr>
      <w:b/>
      <w:bCs/>
      <w:sz w:val="22"/>
      <w:szCs w:val="22"/>
    </w:rPr>
  </w:style>
  <w:style w:type="paragraph" w:styleId="berschrift7">
    <w:name w:val="heading 7"/>
    <w:basedOn w:val="Standard"/>
    <w:next w:val="Standard"/>
    <w:qFormat/>
    <w:rsid w:val="00CF1053"/>
    <w:pPr>
      <w:tabs>
        <w:tab w:val="num" w:pos="1296"/>
      </w:tabs>
      <w:spacing w:before="240" w:after="60"/>
      <w:ind w:left="1296" w:hanging="1296"/>
      <w:outlineLvl w:val="6"/>
    </w:pPr>
  </w:style>
  <w:style w:type="paragraph" w:styleId="berschrift8">
    <w:name w:val="heading 8"/>
    <w:basedOn w:val="Standard"/>
    <w:next w:val="Standard"/>
    <w:qFormat/>
    <w:rsid w:val="00CF1053"/>
    <w:pPr>
      <w:tabs>
        <w:tab w:val="num" w:pos="1440"/>
      </w:tabs>
      <w:spacing w:before="240" w:after="60"/>
      <w:ind w:left="1440" w:hanging="1440"/>
      <w:outlineLvl w:val="7"/>
    </w:pPr>
    <w:rPr>
      <w:i/>
      <w:iCs/>
    </w:rPr>
  </w:style>
  <w:style w:type="paragraph" w:styleId="berschrift9">
    <w:name w:val="heading 9"/>
    <w:basedOn w:val="Standard"/>
    <w:next w:val="Standard"/>
    <w:qFormat/>
    <w:rsid w:val="00CF1053"/>
    <w:pPr>
      <w:tabs>
        <w:tab w:val="num" w:pos="1584"/>
      </w:tabs>
      <w:spacing w:before="240" w:after="60"/>
      <w:ind w:left="1584" w:hanging="1584"/>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3Studie">
    <w:name w:val="Ü3 Studie"/>
    <w:basedOn w:val="berschrift3"/>
    <w:next w:val="Standard"/>
    <w:autoRedefine/>
    <w:rsid w:val="00A05FD1"/>
    <w:pPr>
      <w:tabs>
        <w:tab w:val="left" w:pos="4111"/>
        <w:tab w:val="left" w:pos="5529"/>
        <w:tab w:val="left" w:pos="7797"/>
      </w:tabs>
      <w:spacing w:line="360" w:lineRule="auto"/>
      <w:ind w:right="1"/>
    </w:pPr>
    <w:rPr>
      <w:rFonts w:ascii="Times New Roman" w:hAnsi="Times New Roman" w:cs="Times New Roman"/>
      <w:bCs w:val="0"/>
      <w:sz w:val="24"/>
      <w:szCs w:val="20"/>
    </w:rPr>
  </w:style>
  <w:style w:type="paragraph" w:customStyle="1" w:styleId="2Studie">
    <w:name w:val="Ü2 Studie"/>
    <w:basedOn w:val="berschrift2"/>
    <w:next w:val="Standard"/>
    <w:autoRedefine/>
    <w:rsid w:val="00A05FD1"/>
    <w:pPr>
      <w:numPr>
        <w:ilvl w:val="1"/>
        <w:numId w:val="3"/>
      </w:numPr>
      <w:spacing w:line="360" w:lineRule="auto"/>
      <w:jc w:val="both"/>
    </w:pPr>
    <w:rPr>
      <w:rFonts w:ascii="Times New Roman" w:hAnsi="Times New Roman" w:cs="Times New Roman"/>
      <w:bCs w:val="0"/>
      <w:i w:val="0"/>
      <w:iCs w:val="0"/>
      <w:sz w:val="24"/>
      <w:szCs w:val="24"/>
    </w:rPr>
  </w:style>
  <w:style w:type="paragraph" w:customStyle="1" w:styleId="1Studie">
    <w:name w:val="Ü1 Studie"/>
    <w:basedOn w:val="berschrift1"/>
    <w:autoRedefine/>
    <w:rsid w:val="00A05FD1"/>
    <w:pPr>
      <w:numPr>
        <w:numId w:val="2"/>
      </w:numPr>
      <w:overflowPunct w:val="0"/>
      <w:autoSpaceDE w:val="0"/>
      <w:autoSpaceDN w:val="0"/>
      <w:adjustRightInd w:val="0"/>
      <w:spacing w:line="360" w:lineRule="auto"/>
      <w:jc w:val="both"/>
      <w:textAlignment w:val="baseline"/>
    </w:pPr>
    <w:rPr>
      <w:rFonts w:ascii="Times New Roman" w:hAnsi="Times New Roman" w:cs="Times New Roman"/>
      <w:sz w:val="28"/>
    </w:rPr>
  </w:style>
  <w:style w:type="paragraph" w:customStyle="1" w:styleId="4Studie">
    <w:name w:val="Ü4 Studie"/>
    <w:basedOn w:val="berschrift4"/>
    <w:next w:val="Standard"/>
    <w:autoRedefine/>
    <w:rsid w:val="00A05FD1"/>
    <w:pPr>
      <w:numPr>
        <w:ilvl w:val="3"/>
        <w:numId w:val="1"/>
      </w:numPr>
      <w:tabs>
        <w:tab w:val="left" w:pos="284"/>
        <w:tab w:val="left" w:pos="1134"/>
        <w:tab w:val="left" w:pos="4111"/>
        <w:tab w:val="left" w:pos="5529"/>
        <w:tab w:val="left" w:pos="7797"/>
      </w:tabs>
      <w:overflowPunct w:val="0"/>
      <w:autoSpaceDE w:val="0"/>
      <w:autoSpaceDN w:val="0"/>
      <w:adjustRightInd w:val="0"/>
      <w:spacing w:line="360" w:lineRule="auto"/>
      <w:ind w:right="1"/>
      <w:textAlignment w:val="baseline"/>
    </w:pPr>
    <w:rPr>
      <w:bCs w:val="0"/>
      <w:szCs w:val="20"/>
    </w:rPr>
  </w:style>
  <w:style w:type="paragraph" w:styleId="Verzeichnis1">
    <w:name w:val="toc 1"/>
    <w:basedOn w:val="Standard"/>
    <w:next w:val="Standard"/>
    <w:autoRedefine/>
    <w:uiPriority w:val="39"/>
    <w:rsid w:val="00CF1053"/>
    <w:rPr>
      <w:lang w:eastAsia="en-US"/>
    </w:rPr>
  </w:style>
  <w:style w:type="paragraph" w:styleId="Fuzeile">
    <w:name w:val="footer"/>
    <w:basedOn w:val="Standard"/>
    <w:rsid w:val="00CF1053"/>
    <w:pPr>
      <w:tabs>
        <w:tab w:val="center" w:pos="4536"/>
        <w:tab w:val="right" w:pos="9072"/>
      </w:tabs>
    </w:pPr>
    <w:rPr>
      <w:lang w:eastAsia="en-US"/>
    </w:rPr>
  </w:style>
  <w:style w:type="character" w:styleId="Seitenzahl">
    <w:name w:val="page number"/>
    <w:basedOn w:val="Absatz-Standardschriftart"/>
    <w:rsid w:val="00CF1053"/>
  </w:style>
  <w:style w:type="paragraph" w:styleId="Verzeichnis2">
    <w:name w:val="toc 2"/>
    <w:basedOn w:val="Standard"/>
    <w:next w:val="Standard"/>
    <w:autoRedefine/>
    <w:uiPriority w:val="39"/>
    <w:rsid w:val="00CF1053"/>
    <w:pPr>
      <w:ind w:left="240"/>
    </w:pPr>
    <w:rPr>
      <w:lang w:eastAsia="en-US"/>
    </w:rPr>
  </w:style>
  <w:style w:type="character" w:styleId="Hyperlink">
    <w:name w:val="Hyperlink"/>
    <w:uiPriority w:val="99"/>
    <w:rsid w:val="00CF1053"/>
    <w:rPr>
      <w:color w:val="0000FF"/>
      <w:u w:val="single"/>
    </w:rPr>
  </w:style>
  <w:style w:type="paragraph" w:styleId="Verzeichnis3">
    <w:name w:val="toc 3"/>
    <w:basedOn w:val="Standard"/>
    <w:next w:val="Standard"/>
    <w:autoRedefine/>
    <w:uiPriority w:val="39"/>
    <w:rsid w:val="00CF1053"/>
    <w:pPr>
      <w:ind w:left="480"/>
    </w:pPr>
    <w:rPr>
      <w:lang w:eastAsia="en-US"/>
    </w:rPr>
  </w:style>
  <w:style w:type="paragraph" w:styleId="Kopfzeile">
    <w:name w:val="header"/>
    <w:basedOn w:val="Standard"/>
    <w:rsid w:val="00CF1053"/>
    <w:pPr>
      <w:tabs>
        <w:tab w:val="left" w:pos="284"/>
        <w:tab w:val="left" w:pos="1134"/>
        <w:tab w:val="left" w:pos="4111"/>
        <w:tab w:val="center" w:pos="4536"/>
        <w:tab w:val="left" w:pos="5529"/>
        <w:tab w:val="left" w:pos="7797"/>
        <w:tab w:val="right" w:pos="9072"/>
      </w:tabs>
      <w:ind w:right="1"/>
    </w:pPr>
    <w:rPr>
      <w:szCs w:val="20"/>
    </w:rPr>
  </w:style>
  <w:style w:type="paragraph" w:customStyle="1" w:styleId="Formatvorlageberschrift2TimesNewRoman">
    <w:name w:val="Formatvorlage Überschrift 2 + Times New Roman"/>
    <w:basedOn w:val="berschrift2"/>
    <w:autoRedefine/>
    <w:rsid w:val="00CF1053"/>
    <w:rPr>
      <w:rFonts w:ascii="Times New Roman" w:hAnsi="Times New Roman" w:cs="Times New Roman"/>
      <w:b w:val="0"/>
      <w:bCs w:val="0"/>
      <w:i w:val="0"/>
      <w:iCs w:val="0"/>
      <w:sz w:val="20"/>
      <w:szCs w:val="24"/>
      <w:u w:val="single"/>
    </w:rPr>
  </w:style>
  <w:style w:type="character" w:customStyle="1" w:styleId="berschrift1Zchn">
    <w:name w:val="Überschrift 1 Zchn"/>
    <w:link w:val="berschrift1"/>
    <w:rsid w:val="00CF1053"/>
    <w:rPr>
      <w:rFonts w:ascii="Arial" w:hAnsi="Arial" w:cs="Arial"/>
      <w:b/>
      <w:bCs/>
      <w:kern w:val="32"/>
      <w:sz w:val="32"/>
      <w:szCs w:val="32"/>
      <w:lang w:val="de-AT" w:eastAsia="de-AT" w:bidi="ar-SA"/>
    </w:rPr>
  </w:style>
  <w:style w:type="character" w:customStyle="1" w:styleId="berschrift3Zchn">
    <w:name w:val="Überschrift 3 Zchn"/>
    <w:link w:val="berschrift3"/>
    <w:rsid w:val="00CF1053"/>
    <w:rPr>
      <w:rFonts w:ascii="Arial" w:hAnsi="Arial" w:cs="Arial"/>
      <w:b/>
      <w:bCs/>
      <w:sz w:val="26"/>
      <w:szCs w:val="26"/>
      <w:lang w:val="de-AT" w:eastAsia="de-AT" w:bidi="ar-SA"/>
    </w:rPr>
  </w:style>
  <w:style w:type="paragraph" w:styleId="Sprechblasentext">
    <w:name w:val="Balloon Text"/>
    <w:basedOn w:val="Standard"/>
    <w:semiHidden/>
    <w:rsid w:val="000020B5"/>
    <w:rPr>
      <w:rFonts w:ascii="Tahoma" w:hAnsi="Tahoma" w:cs="Tahoma"/>
      <w:sz w:val="16"/>
      <w:szCs w:val="16"/>
    </w:rPr>
  </w:style>
  <w:style w:type="character" w:styleId="BesuchterHyperlink">
    <w:name w:val="FollowedHyperlink"/>
    <w:rsid w:val="004C68DD"/>
    <w:rPr>
      <w:color w:val="606420"/>
      <w:u w:val="single"/>
    </w:rPr>
  </w:style>
  <w:style w:type="table" w:styleId="Tabellenraster">
    <w:name w:val="Table Grid"/>
    <w:basedOn w:val="NormaleTabelle"/>
    <w:rsid w:val="00F70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7C5587"/>
    <w:pPr>
      <w:ind w:left="708"/>
    </w:pPr>
  </w:style>
  <w:style w:type="paragraph" w:styleId="Titel">
    <w:name w:val="Title"/>
    <w:basedOn w:val="Standard"/>
    <w:next w:val="Standard"/>
    <w:link w:val="TitelZchn"/>
    <w:qFormat/>
    <w:rsid w:val="000119C3"/>
    <w:pPr>
      <w:spacing w:before="240" w:after="60"/>
      <w:jc w:val="center"/>
      <w:outlineLvl w:val="0"/>
    </w:pPr>
    <w:rPr>
      <w:rFonts w:ascii="Cambria" w:hAnsi="Cambria"/>
      <w:b/>
      <w:bCs/>
      <w:kern w:val="28"/>
      <w:sz w:val="32"/>
      <w:szCs w:val="32"/>
    </w:rPr>
  </w:style>
  <w:style w:type="character" w:customStyle="1" w:styleId="TitelZchn">
    <w:name w:val="Titel Zchn"/>
    <w:link w:val="Titel"/>
    <w:rsid w:val="000119C3"/>
    <w:rPr>
      <w:rFonts w:ascii="Cambria" w:eastAsia="Times New Roman" w:hAnsi="Cambria" w:cs="Times New Roman"/>
      <w:b/>
      <w:bCs/>
      <w:kern w:val="28"/>
      <w:sz w:val="32"/>
      <w:szCs w:val="32"/>
      <w:lang w:val="de-DE" w:eastAsia="de-DE"/>
    </w:rPr>
  </w:style>
  <w:style w:type="paragraph" w:styleId="StandardWeb">
    <w:name w:val="Normal (Web)"/>
    <w:basedOn w:val="Standard"/>
    <w:uiPriority w:val="99"/>
    <w:unhideWhenUsed/>
    <w:rsid w:val="001167BA"/>
    <w:pPr>
      <w:spacing w:before="100" w:beforeAutospacing="1" w:after="100" w:afterAutospacing="1"/>
    </w:pPr>
    <w:rPr>
      <w:lang w:val="en-US" w:eastAsia="en-US"/>
    </w:rPr>
  </w:style>
  <w:style w:type="paragraph" w:styleId="Textkrper2">
    <w:name w:val="Body Text 2"/>
    <w:basedOn w:val="Standard"/>
    <w:link w:val="Textkrper2Zchn"/>
    <w:rsid w:val="004D04AC"/>
    <w:pPr>
      <w:spacing w:line="280" w:lineRule="exact"/>
      <w:jc w:val="both"/>
    </w:pPr>
    <w:rPr>
      <w:szCs w:val="20"/>
      <w:lang w:val="de-AT"/>
    </w:rPr>
  </w:style>
  <w:style w:type="character" w:customStyle="1" w:styleId="Textkrper2Zchn">
    <w:name w:val="Textkörper 2 Zchn"/>
    <w:link w:val="Textkrper2"/>
    <w:rsid w:val="004D04AC"/>
    <w:rPr>
      <w:sz w:val="24"/>
      <w:lang w:val="de-AT" w:eastAsia="de-DE"/>
    </w:rPr>
  </w:style>
  <w:style w:type="paragraph" w:customStyle="1" w:styleId="Default">
    <w:name w:val="Default"/>
    <w:rsid w:val="004D04AC"/>
    <w:pPr>
      <w:autoSpaceDE w:val="0"/>
      <w:autoSpaceDN w:val="0"/>
      <w:adjustRightInd w:val="0"/>
    </w:pPr>
    <w:rPr>
      <w:rFonts w:ascii="Arial" w:hAnsi="Arial" w:cs="Arial"/>
      <w:color w:val="000000"/>
      <w:sz w:val="24"/>
      <w:szCs w:val="24"/>
    </w:rPr>
  </w:style>
  <w:style w:type="character" w:styleId="Hervorhebung">
    <w:name w:val="Emphasis"/>
    <w:uiPriority w:val="20"/>
    <w:qFormat/>
    <w:rsid w:val="008E2C10"/>
    <w:rPr>
      <w:b/>
      <w:bCs/>
      <w:i w:val="0"/>
      <w:iCs w:val="0"/>
    </w:rPr>
  </w:style>
  <w:style w:type="paragraph" w:styleId="NurText">
    <w:name w:val="Plain Text"/>
    <w:basedOn w:val="Standard"/>
    <w:link w:val="NurTextZchn"/>
    <w:uiPriority w:val="99"/>
    <w:unhideWhenUsed/>
    <w:rsid w:val="00E6054B"/>
    <w:rPr>
      <w:rFonts w:ascii="Calibri" w:eastAsia="Calibri" w:hAnsi="Calibri"/>
      <w:sz w:val="22"/>
      <w:szCs w:val="21"/>
      <w:lang w:val="en-US" w:eastAsia="en-US"/>
    </w:rPr>
  </w:style>
  <w:style w:type="character" w:customStyle="1" w:styleId="NurTextZchn">
    <w:name w:val="Nur Text Zchn"/>
    <w:link w:val="NurText"/>
    <w:uiPriority w:val="99"/>
    <w:rsid w:val="00E6054B"/>
    <w:rPr>
      <w:rFonts w:ascii="Calibri" w:eastAsia="Calibri" w:hAnsi="Calibri"/>
      <w:sz w:val="22"/>
      <w:szCs w:val="21"/>
    </w:rPr>
  </w:style>
  <w:style w:type="character" w:styleId="Fett">
    <w:name w:val="Strong"/>
    <w:uiPriority w:val="22"/>
    <w:qFormat/>
    <w:rsid w:val="00D83600"/>
    <w:rPr>
      <w:b/>
      <w:bCs/>
    </w:rPr>
  </w:style>
  <w:style w:type="paragraph" w:customStyle="1" w:styleId="indent">
    <w:name w:val="indent"/>
    <w:basedOn w:val="Standard"/>
    <w:rsid w:val="00097BB9"/>
    <w:pPr>
      <w:spacing w:before="100" w:beforeAutospacing="1" w:after="100" w:afterAutospacing="1"/>
    </w:pPr>
    <w:rPr>
      <w:lang w:val="en-US" w:eastAsia="en-US"/>
    </w:rPr>
  </w:style>
  <w:style w:type="paragraph" w:styleId="Funotentext">
    <w:name w:val="footnote text"/>
    <w:basedOn w:val="Standard"/>
    <w:link w:val="FunotentextZchn"/>
    <w:rsid w:val="0055485F"/>
    <w:rPr>
      <w:sz w:val="20"/>
      <w:szCs w:val="20"/>
    </w:rPr>
  </w:style>
  <w:style w:type="character" w:customStyle="1" w:styleId="FunotentextZchn">
    <w:name w:val="Fußnotentext Zchn"/>
    <w:link w:val="Funotentext"/>
    <w:rsid w:val="0055485F"/>
    <w:rPr>
      <w:lang w:val="de-DE" w:eastAsia="de-DE"/>
    </w:rPr>
  </w:style>
  <w:style w:type="character" w:styleId="Funotenzeichen">
    <w:name w:val="footnote reference"/>
    <w:rsid w:val="0055485F"/>
    <w:rPr>
      <w:vertAlign w:val="superscript"/>
    </w:rPr>
  </w:style>
  <w:style w:type="character" w:styleId="HTMLZitat">
    <w:name w:val="HTML Cite"/>
    <w:uiPriority w:val="99"/>
    <w:unhideWhenUsed/>
    <w:rsid w:val="00AC37F5"/>
    <w:rPr>
      <w:i/>
      <w:iCs/>
    </w:rPr>
  </w:style>
  <w:style w:type="paragraph" w:customStyle="1" w:styleId="12PromKlEinlSatz">
    <w:name w:val="12_PromKl_EinlSatz"/>
    <w:basedOn w:val="Standard"/>
    <w:next w:val="41UeberschrG1"/>
    <w:rsid w:val="00AC37F5"/>
    <w:pPr>
      <w:keepNext/>
      <w:spacing w:before="160" w:line="220" w:lineRule="exact"/>
      <w:ind w:firstLine="397"/>
      <w:jc w:val="both"/>
    </w:pPr>
    <w:rPr>
      <w:color w:val="000000"/>
      <w:sz w:val="20"/>
      <w:szCs w:val="20"/>
      <w:lang w:val="de-AT" w:eastAsia="de-AT"/>
    </w:rPr>
  </w:style>
  <w:style w:type="paragraph" w:customStyle="1" w:styleId="11Titel">
    <w:name w:val="11_Titel"/>
    <w:basedOn w:val="Standard"/>
    <w:next w:val="12PromKlEinlSatz"/>
    <w:rsid w:val="00AC37F5"/>
    <w:pPr>
      <w:suppressAutoHyphens/>
      <w:spacing w:before="480" w:line="220" w:lineRule="exact"/>
      <w:jc w:val="both"/>
    </w:pPr>
    <w:rPr>
      <w:b/>
      <w:color w:val="000000"/>
      <w:sz w:val="22"/>
      <w:szCs w:val="20"/>
      <w:lang w:val="de-AT" w:eastAsia="de-AT"/>
    </w:rPr>
  </w:style>
  <w:style w:type="paragraph" w:customStyle="1" w:styleId="09Abstand">
    <w:name w:val="09_Abstand"/>
    <w:basedOn w:val="Standard"/>
    <w:rsid w:val="00AC37F5"/>
    <w:pPr>
      <w:spacing w:line="200" w:lineRule="exact"/>
    </w:pPr>
    <w:rPr>
      <w:color w:val="000000"/>
      <w:sz w:val="20"/>
      <w:szCs w:val="20"/>
      <w:lang w:val="de-AT" w:eastAsia="de-AT"/>
    </w:rPr>
  </w:style>
  <w:style w:type="paragraph" w:customStyle="1" w:styleId="41UeberschrG1">
    <w:name w:val="41_UeberschrG1"/>
    <w:basedOn w:val="Standard"/>
    <w:next w:val="Standard"/>
    <w:rsid w:val="00AC37F5"/>
    <w:pPr>
      <w:keepNext/>
      <w:spacing w:before="320" w:line="220" w:lineRule="exact"/>
      <w:jc w:val="center"/>
    </w:pPr>
    <w:rPr>
      <w:b/>
      <w:color w:val="000000"/>
      <w:sz w:val="22"/>
      <w:szCs w:val="20"/>
      <w:lang w:val="de-AT" w:eastAsia="de-AT"/>
    </w:rPr>
  </w:style>
  <w:style w:type="paragraph" w:customStyle="1" w:styleId="45UeberschrPara">
    <w:name w:val="45_UeberschrPara"/>
    <w:basedOn w:val="Standard"/>
    <w:next w:val="51Abs"/>
    <w:qFormat/>
    <w:rsid w:val="00AC37F5"/>
    <w:pPr>
      <w:keepNext/>
      <w:spacing w:before="80" w:line="220" w:lineRule="exact"/>
      <w:jc w:val="center"/>
    </w:pPr>
    <w:rPr>
      <w:b/>
      <w:color w:val="000000"/>
      <w:sz w:val="20"/>
      <w:szCs w:val="20"/>
      <w:lang w:val="de-AT" w:eastAsia="de-AT"/>
    </w:rPr>
  </w:style>
  <w:style w:type="paragraph" w:customStyle="1" w:styleId="43UeberschrG2">
    <w:name w:val="43_UeberschrG2"/>
    <w:basedOn w:val="Standard"/>
    <w:next w:val="45UeberschrPara"/>
    <w:rsid w:val="00AC37F5"/>
    <w:pPr>
      <w:keepNext/>
      <w:spacing w:before="80" w:after="80" w:line="220" w:lineRule="exact"/>
      <w:jc w:val="center"/>
    </w:pPr>
    <w:rPr>
      <w:b/>
      <w:color w:val="000000"/>
      <w:sz w:val="22"/>
      <w:szCs w:val="20"/>
      <w:lang w:val="de-AT" w:eastAsia="de-AT"/>
    </w:rPr>
  </w:style>
  <w:style w:type="paragraph" w:customStyle="1" w:styleId="51Abs">
    <w:name w:val="51_Abs"/>
    <w:basedOn w:val="Standard"/>
    <w:qFormat/>
    <w:rsid w:val="00AC37F5"/>
    <w:pPr>
      <w:spacing w:before="80" w:line="220" w:lineRule="exact"/>
      <w:ind w:firstLine="397"/>
      <w:jc w:val="both"/>
    </w:pPr>
    <w:rPr>
      <w:color w:val="000000"/>
      <w:sz w:val="20"/>
      <w:szCs w:val="20"/>
      <w:lang w:val="de-AT" w:eastAsia="de-AT"/>
    </w:rPr>
  </w:style>
  <w:style w:type="paragraph" w:customStyle="1" w:styleId="52Ziffere1">
    <w:name w:val="52_Ziffer_e1"/>
    <w:basedOn w:val="Standard"/>
    <w:qFormat/>
    <w:rsid w:val="00AC37F5"/>
    <w:pPr>
      <w:tabs>
        <w:tab w:val="right" w:pos="624"/>
        <w:tab w:val="left" w:pos="680"/>
      </w:tabs>
      <w:spacing w:before="40" w:line="220" w:lineRule="exact"/>
      <w:ind w:left="680" w:hanging="680"/>
      <w:jc w:val="both"/>
    </w:pPr>
    <w:rPr>
      <w:color w:val="000000"/>
      <w:sz w:val="20"/>
      <w:szCs w:val="20"/>
      <w:lang w:val="de-AT" w:eastAsia="de-AT"/>
    </w:rPr>
  </w:style>
  <w:style w:type="paragraph" w:customStyle="1" w:styleId="55SchlussteilAbs">
    <w:name w:val="55_SchlussteilAbs"/>
    <w:basedOn w:val="Standard"/>
    <w:next w:val="51Abs"/>
    <w:rsid w:val="00AC37F5"/>
    <w:pPr>
      <w:spacing w:before="40" w:line="220" w:lineRule="exact"/>
      <w:jc w:val="both"/>
    </w:pPr>
    <w:rPr>
      <w:color w:val="000000"/>
      <w:sz w:val="20"/>
      <w:szCs w:val="20"/>
      <w:lang w:val="de-AT" w:eastAsia="de-AT"/>
    </w:rPr>
  </w:style>
  <w:style w:type="paragraph" w:customStyle="1" w:styleId="71Anlagenbez">
    <w:name w:val="71_Anlagenbez"/>
    <w:basedOn w:val="Standard"/>
    <w:rsid w:val="00AC37F5"/>
    <w:pPr>
      <w:spacing w:before="160" w:line="220" w:lineRule="exact"/>
      <w:jc w:val="right"/>
    </w:pPr>
    <w:rPr>
      <w:b/>
      <w:color w:val="000000"/>
      <w:sz w:val="22"/>
      <w:szCs w:val="20"/>
      <w:lang w:val="de-AT" w:eastAsia="de-AT"/>
    </w:rPr>
  </w:style>
  <w:style w:type="paragraph" w:customStyle="1" w:styleId="83ErlText">
    <w:name w:val="83_ErlText"/>
    <w:basedOn w:val="Standard"/>
    <w:rsid w:val="00AC37F5"/>
    <w:pPr>
      <w:spacing w:before="80" w:line="220" w:lineRule="exact"/>
      <w:jc w:val="both"/>
    </w:pPr>
    <w:rPr>
      <w:color w:val="000000"/>
      <w:sz w:val="20"/>
      <w:szCs w:val="20"/>
      <w:lang w:val="de-AT" w:eastAsia="de-AT"/>
    </w:rPr>
  </w:style>
  <w:style w:type="paragraph" w:customStyle="1" w:styleId="81ErlUeberschrZ">
    <w:name w:val="81_ErlUeberschrZ"/>
    <w:basedOn w:val="Standard"/>
    <w:next w:val="83ErlText"/>
    <w:rsid w:val="00AC37F5"/>
    <w:pPr>
      <w:keepNext/>
      <w:spacing w:before="320" w:line="220" w:lineRule="exact"/>
      <w:jc w:val="center"/>
    </w:pPr>
    <w:rPr>
      <w:b/>
      <w:color w:val="000000"/>
      <w:sz w:val="22"/>
      <w:szCs w:val="20"/>
      <w:lang w:val="de-AT" w:eastAsia="de-AT"/>
    </w:rPr>
  </w:style>
  <w:style w:type="character" w:customStyle="1" w:styleId="991GldSymbol">
    <w:name w:val="991_GldSymbol"/>
    <w:rsid w:val="00AC37F5"/>
    <w:rPr>
      <w:b/>
      <w:bCs w:val="0"/>
      <w:color w:val="000000"/>
    </w:rPr>
  </w:style>
  <w:style w:type="paragraph" w:customStyle="1" w:styleId="ueberschrpara">
    <w:name w:val="ueberschrpara"/>
    <w:basedOn w:val="Standard"/>
    <w:rsid w:val="00AC37F5"/>
    <w:pPr>
      <w:keepNext/>
      <w:snapToGrid w:val="0"/>
      <w:spacing w:before="80" w:line="220" w:lineRule="atLeast"/>
    </w:pPr>
    <w:rPr>
      <w:b/>
      <w:bCs/>
      <w:color w:val="000000"/>
      <w:sz w:val="20"/>
      <w:szCs w:val="20"/>
      <w:lang w:val="en-US" w:eastAsia="en-US"/>
    </w:rPr>
  </w:style>
  <w:style w:type="paragraph" w:customStyle="1" w:styleId="abs">
    <w:name w:val="abs"/>
    <w:basedOn w:val="Standard"/>
    <w:rsid w:val="00AC37F5"/>
    <w:pPr>
      <w:snapToGrid w:val="0"/>
      <w:spacing w:before="80" w:line="288" w:lineRule="auto"/>
      <w:ind w:firstLine="397"/>
    </w:pPr>
    <w:rPr>
      <w:color w:val="000000"/>
      <w:sz w:val="20"/>
      <w:szCs w:val="20"/>
      <w:lang w:val="en-US" w:eastAsia="en-US"/>
    </w:rPr>
  </w:style>
  <w:style w:type="paragraph" w:customStyle="1" w:styleId="ziffere1">
    <w:name w:val="ziffere1"/>
    <w:basedOn w:val="Standard"/>
    <w:rsid w:val="00AC37F5"/>
    <w:pPr>
      <w:snapToGrid w:val="0"/>
      <w:spacing w:before="40" w:line="220" w:lineRule="atLeast"/>
    </w:pPr>
    <w:rPr>
      <w:color w:val="000000"/>
      <w:sz w:val="20"/>
      <w:szCs w:val="20"/>
      <w:lang w:val="en-US" w:eastAsia="en-US"/>
    </w:rPr>
  </w:style>
  <w:style w:type="character" w:customStyle="1" w:styleId="gldsymbol">
    <w:name w:val="gldsymbol"/>
    <w:rsid w:val="00AC37F5"/>
    <w:rPr>
      <w:b/>
      <w:bCs/>
    </w:rPr>
  </w:style>
  <w:style w:type="paragraph" w:styleId="z-Formularende">
    <w:name w:val="HTML Bottom of Form"/>
    <w:basedOn w:val="Standard"/>
    <w:next w:val="Standard"/>
    <w:link w:val="z-FormularendeZchn"/>
    <w:hidden/>
    <w:uiPriority w:val="99"/>
    <w:unhideWhenUsed/>
    <w:rsid w:val="00C16DBB"/>
    <w:pPr>
      <w:pBdr>
        <w:top w:val="single" w:sz="6" w:space="1" w:color="auto"/>
      </w:pBdr>
      <w:jc w:val="center"/>
    </w:pPr>
    <w:rPr>
      <w:rFonts w:cs="Arial"/>
      <w:vanish/>
      <w:sz w:val="16"/>
      <w:szCs w:val="16"/>
      <w:lang w:val="en-US" w:eastAsia="en-US"/>
    </w:rPr>
  </w:style>
  <w:style w:type="character" w:customStyle="1" w:styleId="z-FormularendeZchn">
    <w:name w:val="z-Formularende Zchn"/>
    <w:link w:val="z-Formularende"/>
    <w:uiPriority w:val="99"/>
    <w:rsid w:val="00C16DBB"/>
    <w:rPr>
      <w:rFonts w:ascii="Arial" w:hAnsi="Arial" w:cs="Arial"/>
      <w:vanish/>
      <w:sz w:val="16"/>
      <w:szCs w:val="16"/>
    </w:rPr>
  </w:style>
  <w:style w:type="paragraph" w:styleId="Listenabsatz">
    <w:name w:val="List Paragraph"/>
    <w:basedOn w:val="Standard"/>
    <w:uiPriority w:val="34"/>
    <w:qFormat/>
    <w:rsid w:val="00DF38B1"/>
    <w:pPr>
      <w:ind w:left="720"/>
      <w:contextualSpacing/>
    </w:pPr>
    <w:rPr>
      <w:rFonts w:ascii="Calibri" w:eastAsia="Calibri" w:hAnsi="Calibri"/>
      <w:lang w:val="de-AT" w:eastAsia="en-US"/>
    </w:rPr>
  </w:style>
  <w:style w:type="paragraph" w:customStyle="1" w:styleId="printable-content">
    <w:name w:val="printable-content"/>
    <w:basedOn w:val="Standard"/>
    <w:rsid w:val="00C2124D"/>
    <w:pPr>
      <w:spacing w:before="100" w:beforeAutospacing="1" w:after="100" w:afterAutospacing="1"/>
    </w:pPr>
    <w:rPr>
      <w:lang w:val="en-US" w:eastAsia="en-US"/>
    </w:rPr>
  </w:style>
  <w:style w:type="character" w:customStyle="1" w:styleId="multilink">
    <w:name w:val="multilink"/>
    <w:rsid w:val="00C2124D"/>
  </w:style>
  <w:style w:type="character" w:customStyle="1" w:styleId="multilink-targets">
    <w:name w:val="multilink-targets"/>
    <w:rsid w:val="00C2124D"/>
  </w:style>
  <w:style w:type="paragraph" w:customStyle="1" w:styleId="aufz1">
    <w:name w:val="aufz1"/>
    <w:basedOn w:val="Standard"/>
    <w:rsid w:val="00C2124D"/>
    <w:pPr>
      <w:spacing w:before="100" w:beforeAutospacing="1" w:after="100" w:afterAutospacing="1"/>
    </w:pPr>
    <w:rPr>
      <w:lang w:val="en-US" w:eastAsia="en-US"/>
    </w:rPr>
  </w:style>
  <w:style w:type="paragraph" w:customStyle="1" w:styleId="Eingabe">
    <w:name w:val="Eingabe"/>
    <w:basedOn w:val="Standard"/>
    <w:qFormat/>
    <w:rsid w:val="006B0CFF"/>
    <w:pPr>
      <w:spacing w:before="200"/>
      <w:textAlignment w:val="baseline"/>
    </w:pPr>
    <w:rPr>
      <w:sz w:val="20"/>
      <w:szCs w:val="20"/>
      <w:lang w:val="de-AT" w:eastAsia="en-US"/>
    </w:rPr>
  </w:style>
  <w:style w:type="paragraph" w:styleId="Beschriftung">
    <w:name w:val="caption"/>
    <w:basedOn w:val="Standard"/>
    <w:next w:val="Standard"/>
    <w:unhideWhenUsed/>
    <w:qFormat/>
    <w:rsid w:val="00BD1BEF"/>
    <w:pPr>
      <w:tabs>
        <w:tab w:val="left" w:pos="284"/>
        <w:tab w:val="left" w:pos="1134"/>
        <w:tab w:val="left" w:pos="4111"/>
        <w:tab w:val="left" w:pos="5529"/>
        <w:tab w:val="left" w:pos="7797"/>
      </w:tabs>
      <w:spacing w:after="200"/>
      <w:ind w:right="1"/>
    </w:pPr>
    <w:rPr>
      <w:b/>
      <w:bCs/>
      <w:color w:val="4F81BD"/>
      <w:sz w:val="18"/>
      <w:szCs w:val="18"/>
    </w:rPr>
  </w:style>
  <w:style w:type="paragraph" w:customStyle="1" w:styleId="ueberschrg1">
    <w:name w:val="ueberschrg1"/>
    <w:basedOn w:val="Standard"/>
    <w:rsid w:val="00C7108E"/>
    <w:pPr>
      <w:spacing w:before="100" w:beforeAutospacing="1" w:after="100" w:afterAutospacing="1"/>
    </w:pPr>
    <w:rPr>
      <w:lang w:val="de-AT" w:eastAsia="de-AT"/>
    </w:rPr>
  </w:style>
  <w:style w:type="paragraph" w:customStyle="1" w:styleId="tabtext">
    <w:name w:val="tabtext"/>
    <w:basedOn w:val="Standard"/>
    <w:rsid w:val="00C7108E"/>
    <w:pPr>
      <w:spacing w:before="100" w:beforeAutospacing="1" w:after="100" w:afterAutospacing="1"/>
    </w:pPr>
    <w:rPr>
      <w:lang w:val="de-AT" w:eastAsia="de-AT"/>
    </w:rPr>
  </w:style>
  <w:style w:type="paragraph" w:customStyle="1" w:styleId="abstand">
    <w:name w:val="abstand"/>
    <w:basedOn w:val="Standard"/>
    <w:rsid w:val="00C7108E"/>
    <w:pPr>
      <w:spacing w:before="100" w:beforeAutospacing="1" w:after="100" w:afterAutospacing="1"/>
    </w:pPr>
    <w:rPr>
      <w:lang w:val="de-AT" w:eastAsia="de-AT"/>
    </w:rPr>
  </w:style>
  <w:style w:type="character" w:customStyle="1" w:styleId="fett0">
    <w:name w:val="fett"/>
    <w:basedOn w:val="Absatz-Standardschriftart"/>
    <w:rsid w:val="00C71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4531">
      <w:bodyDiv w:val="1"/>
      <w:marLeft w:val="0"/>
      <w:marRight w:val="0"/>
      <w:marTop w:val="0"/>
      <w:marBottom w:val="0"/>
      <w:divBdr>
        <w:top w:val="none" w:sz="0" w:space="0" w:color="auto"/>
        <w:left w:val="none" w:sz="0" w:space="0" w:color="auto"/>
        <w:bottom w:val="none" w:sz="0" w:space="0" w:color="auto"/>
        <w:right w:val="none" w:sz="0" w:space="0" w:color="auto"/>
      </w:divBdr>
    </w:div>
    <w:div w:id="68236567">
      <w:bodyDiv w:val="1"/>
      <w:marLeft w:val="0"/>
      <w:marRight w:val="0"/>
      <w:marTop w:val="0"/>
      <w:marBottom w:val="0"/>
      <w:divBdr>
        <w:top w:val="none" w:sz="0" w:space="0" w:color="auto"/>
        <w:left w:val="none" w:sz="0" w:space="0" w:color="auto"/>
        <w:bottom w:val="none" w:sz="0" w:space="0" w:color="auto"/>
        <w:right w:val="none" w:sz="0" w:space="0" w:color="auto"/>
      </w:divBdr>
    </w:div>
    <w:div w:id="98531812">
      <w:bodyDiv w:val="1"/>
      <w:marLeft w:val="0"/>
      <w:marRight w:val="0"/>
      <w:marTop w:val="0"/>
      <w:marBottom w:val="0"/>
      <w:divBdr>
        <w:top w:val="none" w:sz="0" w:space="0" w:color="auto"/>
        <w:left w:val="none" w:sz="0" w:space="0" w:color="auto"/>
        <w:bottom w:val="none" w:sz="0" w:space="0" w:color="auto"/>
        <w:right w:val="none" w:sz="0" w:space="0" w:color="auto"/>
      </w:divBdr>
    </w:div>
    <w:div w:id="108665578">
      <w:bodyDiv w:val="1"/>
      <w:marLeft w:val="0"/>
      <w:marRight w:val="0"/>
      <w:marTop w:val="0"/>
      <w:marBottom w:val="0"/>
      <w:divBdr>
        <w:top w:val="none" w:sz="0" w:space="0" w:color="auto"/>
        <w:left w:val="none" w:sz="0" w:space="0" w:color="auto"/>
        <w:bottom w:val="none" w:sz="0" w:space="0" w:color="auto"/>
        <w:right w:val="none" w:sz="0" w:space="0" w:color="auto"/>
      </w:divBdr>
    </w:div>
    <w:div w:id="133060456">
      <w:bodyDiv w:val="1"/>
      <w:marLeft w:val="0"/>
      <w:marRight w:val="0"/>
      <w:marTop w:val="0"/>
      <w:marBottom w:val="0"/>
      <w:divBdr>
        <w:top w:val="none" w:sz="0" w:space="0" w:color="auto"/>
        <w:left w:val="none" w:sz="0" w:space="0" w:color="auto"/>
        <w:bottom w:val="none" w:sz="0" w:space="0" w:color="auto"/>
        <w:right w:val="none" w:sz="0" w:space="0" w:color="auto"/>
      </w:divBdr>
      <w:divsChild>
        <w:div w:id="1138650076">
          <w:marLeft w:val="0"/>
          <w:marRight w:val="0"/>
          <w:marTop w:val="0"/>
          <w:marBottom w:val="0"/>
          <w:divBdr>
            <w:top w:val="none" w:sz="0" w:space="0" w:color="auto"/>
            <w:left w:val="none" w:sz="0" w:space="0" w:color="auto"/>
            <w:bottom w:val="none" w:sz="0" w:space="0" w:color="auto"/>
            <w:right w:val="none" w:sz="0" w:space="0" w:color="auto"/>
          </w:divBdr>
          <w:divsChild>
            <w:div w:id="1821652427">
              <w:marLeft w:val="0"/>
              <w:marRight w:val="0"/>
              <w:marTop w:val="0"/>
              <w:marBottom w:val="0"/>
              <w:divBdr>
                <w:top w:val="none" w:sz="0" w:space="0" w:color="auto"/>
                <w:left w:val="none" w:sz="0" w:space="0" w:color="auto"/>
                <w:bottom w:val="none" w:sz="0" w:space="0" w:color="auto"/>
                <w:right w:val="none" w:sz="0" w:space="0" w:color="auto"/>
              </w:divBdr>
              <w:divsChild>
                <w:div w:id="2043479940">
                  <w:marLeft w:val="0"/>
                  <w:marRight w:val="0"/>
                  <w:marTop w:val="0"/>
                  <w:marBottom w:val="0"/>
                  <w:divBdr>
                    <w:top w:val="none" w:sz="0" w:space="0" w:color="auto"/>
                    <w:left w:val="none" w:sz="0" w:space="0" w:color="auto"/>
                    <w:bottom w:val="none" w:sz="0" w:space="0" w:color="auto"/>
                    <w:right w:val="none" w:sz="0" w:space="0" w:color="auto"/>
                  </w:divBdr>
                  <w:divsChild>
                    <w:div w:id="1237083263">
                      <w:marLeft w:val="0"/>
                      <w:marRight w:val="0"/>
                      <w:marTop w:val="0"/>
                      <w:marBottom w:val="0"/>
                      <w:divBdr>
                        <w:top w:val="none" w:sz="0" w:space="0" w:color="auto"/>
                        <w:left w:val="none" w:sz="0" w:space="0" w:color="auto"/>
                        <w:bottom w:val="none" w:sz="0" w:space="0" w:color="auto"/>
                        <w:right w:val="none" w:sz="0" w:space="0" w:color="auto"/>
                      </w:divBdr>
                      <w:divsChild>
                        <w:div w:id="916940008">
                          <w:marLeft w:val="0"/>
                          <w:marRight w:val="0"/>
                          <w:marTop w:val="0"/>
                          <w:marBottom w:val="9439"/>
                          <w:divBdr>
                            <w:top w:val="none" w:sz="0" w:space="0" w:color="auto"/>
                            <w:left w:val="none" w:sz="0" w:space="0" w:color="auto"/>
                            <w:bottom w:val="none" w:sz="0" w:space="0" w:color="auto"/>
                            <w:right w:val="none" w:sz="0" w:space="0" w:color="auto"/>
                          </w:divBdr>
                          <w:divsChild>
                            <w:div w:id="1166045890">
                              <w:marLeft w:val="0"/>
                              <w:marRight w:val="0"/>
                              <w:marTop w:val="0"/>
                              <w:marBottom w:val="0"/>
                              <w:divBdr>
                                <w:top w:val="none" w:sz="0" w:space="0" w:color="auto"/>
                                <w:left w:val="none" w:sz="0" w:space="0" w:color="auto"/>
                                <w:bottom w:val="none" w:sz="0" w:space="0" w:color="auto"/>
                                <w:right w:val="none" w:sz="0" w:space="0" w:color="auto"/>
                              </w:divBdr>
                              <w:divsChild>
                                <w:div w:id="993610679">
                                  <w:marLeft w:val="0"/>
                                  <w:marRight w:val="0"/>
                                  <w:marTop w:val="0"/>
                                  <w:marBottom w:val="0"/>
                                  <w:divBdr>
                                    <w:top w:val="none" w:sz="0" w:space="0" w:color="auto"/>
                                    <w:left w:val="none" w:sz="0" w:space="0" w:color="auto"/>
                                    <w:bottom w:val="none" w:sz="0" w:space="0" w:color="auto"/>
                                    <w:right w:val="none" w:sz="0" w:space="0" w:color="auto"/>
                                  </w:divBdr>
                                  <w:divsChild>
                                    <w:div w:id="51122289">
                                      <w:marLeft w:val="0"/>
                                      <w:marRight w:val="0"/>
                                      <w:marTop w:val="0"/>
                                      <w:marBottom w:val="0"/>
                                      <w:divBdr>
                                        <w:top w:val="none" w:sz="0" w:space="0" w:color="auto"/>
                                        <w:left w:val="none" w:sz="0" w:space="0" w:color="auto"/>
                                        <w:bottom w:val="none" w:sz="0" w:space="0" w:color="auto"/>
                                        <w:right w:val="none" w:sz="0" w:space="0" w:color="auto"/>
                                      </w:divBdr>
                                      <w:divsChild>
                                        <w:div w:id="18729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248696">
      <w:bodyDiv w:val="1"/>
      <w:marLeft w:val="0"/>
      <w:marRight w:val="0"/>
      <w:marTop w:val="0"/>
      <w:marBottom w:val="0"/>
      <w:divBdr>
        <w:top w:val="none" w:sz="0" w:space="0" w:color="auto"/>
        <w:left w:val="none" w:sz="0" w:space="0" w:color="auto"/>
        <w:bottom w:val="none" w:sz="0" w:space="0" w:color="auto"/>
        <w:right w:val="none" w:sz="0" w:space="0" w:color="auto"/>
      </w:divBdr>
    </w:div>
    <w:div w:id="168643523">
      <w:bodyDiv w:val="1"/>
      <w:marLeft w:val="0"/>
      <w:marRight w:val="0"/>
      <w:marTop w:val="0"/>
      <w:marBottom w:val="0"/>
      <w:divBdr>
        <w:top w:val="none" w:sz="0" w:space="0" w:color="auto"/>
        <w:left w:val="none" w:sz="0" w:space="0" w:color="auto"/>
        <w:bottom w:val="none" w:sz="0" w:space="0" w:color="auto"/>
        <w:right w:val="none" w:sz="0" w:space="0" w:color="auto"/>
      </w:divBdr>
    </w:div>
    <w:div w:id="257063331">
      <w:bodyDiv w:val="1"/>
      <w:marLeft w:val="0"/>
      <w:marRight w:val="0"/>
      <w:marTop w:val="0"/>
      <w:marBottom w:val="0"/>
      <w:divBdr>
        <w:top w:val="none" w:sz="0" w:space="0" w:color="auto"/>
        <w:left w:val="none" w:sz="0" w:space="0" w:color="auto"/>
        <w:bottom w:val="none" w:sz="0" w:space="0" w:color="auto"/>
        <w:right w:val="none" w:sz="0" w:space="0" w:color="auto"/>
      </w:divBdr>
    </w:div>
    <w:div w:id="262958989">
      <w:bodyDiv w:val="1"/>
      <w:marLeft w:val="0"/>
      <w:marRight w:val="0"/>
      <w:marTop w:val="0"/>
      <w:marBottom w:val="0"/>
      <w:divBdr>
        <w:top w:val="none" w:sz="0" w:space="0" w:color="auto"/>
        <w:left w:val="none" w:sz="0" w:space="0" w:color="auto"/>
        <w:bottom w:val="none" w:sz="0" w:space="0" w:color="auto"/>
        <w:right w:val="none" w:sz="0" w:space="0" w:color="auto"/>
      </w:divBdr>
    </w:div>
    <w:div w:id="265894914">
      <w:bodyDiv w:val="1"/>
      <w:marLeft w:val="0"/>
      <w:marRight w:val="0"/>
      <w:marTop w:val="0"/>
      <w:marBottom w:val="0"/>
      <w:divBdr>
        <w:top w:val="none" w:sz="0" w:space="0" w:color="auto"/>
        <w:left w:val="none" w:sz="0" w:space="0" w:color="auto"/>
        <w:bottom w:val="none" w:sz="0" w:space="0" w:color="auto"/>
        <w:right w:val="none" w:sz="0" w:space="0" w:color="auto"/>
      </w:divBdr>
    </w:div>
    <w:div w:id="277951541">
      <w:bodyDiv w:val="1"/>
      <w:marLeft w:val="0"/>
      <w:marRight w:val="0"/>
      <w:marTop w:val="0"/>
      <w:marBottom w:val="0"/>
      <w:divBdr>
        <w:top w:val="none" w:sz="0" w:space="0" w:color="auto"/>
        <w:left w:val="none" w:sz="0" w:space="0" w:color="auto"/>
        <w:bottom w:val="none" w:sz="0" w:space="0" w:color="auto"/>
        <w:right w:val="none" w:sz="0" w:space="0" w:color="auto"/>
      </w:divBdr>
    </w:div>
    <w:div w:id="312611512">
      <w:bodyDiv w:val="1"/>
      <w:marLeft w:val="0"/>
      <w:marRight w:val="0"/>
      <w:marTop w:val="0"/>
      <w:marBottom w:val="0"/>
      <w:divBdr>
        <w:top w:val="none" w:sz="0" w:space="0" w:color="auto"/>
        <w:left w:val="none" w:sz="0" w:space="0" w:color="auto"/>
        <w:bottom w:val="none" w:sz="0" w:space="0" w:color="auto"/>
        <w:right w:val="none" w:sz="0" w:space="0" w:color="auto"/>
      </w:divBdr>
    </w:div>
    <w:div w:id="314916335">
      <w:bodyDiv w:val="1"/>
      <w:marLeft w:val="0"/>
      <w:marRight w:val="0"/>
      <w:marTop w:val="0"/>
      <w:marBottom w:val="0"/>
      <w:divBdr>
        <w:top w:val="none" w:sz="0" w:space="0" w:color="auto"/>
        <w:left w:val="none" w:sz="0" w:space="0" w:color="auto"/>
        <w:bottom w:val="none" w:sz="0" w:space="0" w:color="auto"/>
        <w:right w:val="none" w:sz="0" w:space="0" w:color="auto"/>
      </w:divBdr>
    </w:div>
    <w:div w:id="371076617">
      <w:bodyDiv w:val="1"/>
      <w:marLeft w:val="0"/>
      <w:marRight w:val="0"/>
      <w:marTop w:val="0"/>
      <w:marBottom w:val="0"/>
      <w:divBdr>
        <w:top w:val="none" w:sz="0" w:space="0" w:color="auto"/>
        <w:left w:val="none" w:sz="0" w:space="0" w:color="auto"/>
        <w:bottom w:val="none" w:sz="0" w:space="0" w:color="auto"/>
        <w:right w:val="none" w:sz="0" w:space="0" w:color="auto"/>
      </w:divBdr>
    </w:div>
    <w:div w:id="409424793">
      <w:bodyDiv w:val="1"/>
      <w:marLeft w:val="0"/>
      <w:marRight w:val="0"/>
      <w:marTop w:val="0"/>
      <w:marBottom w:val="0"/>
      <w:divBdr>
        <w:top w:val="none" w:sz="0" w:space="0" w:color="auto"/>
        <w:left w:val="none" w:sz="0" w:space="0" w:color="auto"/>
        <w:bottom w:val="none" w:sz="0" w:space="0" w:color="auto"/>
        <w:right w:val="none" w:sz="0" w:space="0" w:color="auto"/>
      </w:divBdr>
      <w:divsChild>
        <w:div w:id="37945695">
          <w:marLeft w:val="0"/>
          <w:marRight w:val="0"/>
          <w:marTop w:val="100"/>
          <w:marBottom w:val="100"/>
          <w:divBdr>
            <w:top w:val="single" w:sz="6" w:space="0" w:color="DCDCDC"/>
            <w:left w:val="single" w:sz="6" w:space="0" w:color="DCDCDC"/>
            <w:bottom w:val="single" w:sz="6" w:space="0" w:color="DCDCDC"/>
            <w:right w:val="single" w:sz="6" w:space="0" w:color="DCDCDC"/>
          </w:divBdr>
          <w:divsChild>
            <w:div w:id="1594704414">
              <w:marLeft w:val="600"/>
              <w:marRight w:val="480"/>
              <w:marTop w:val="24"/>
              <w:marBottom w:val="0"/>
              <w:divBdr>
                <w:top w:val="none" w:sz="0" w:space="0" w:color="auto"/>
                <w:left w:val="none" w:sz="0" w:space="0" w:color="auto"/>
                <w:bottom w:val="none" w:sz="0" w:space="0" w:color="auto"/>
                <w:right w:val="none" w:sz="0" w:space="0" w:color="auto"/>
              </w:divBdr>
            </w:div>
          </w:divsChild>
        </w:div>
      </w:divsChild>
    </w:div>
    <w:div w:id="447817395">
      <w:bodyDiv w:val="1"/>
      <w:marLeft w:val="0"/>
      <w:marRight w:val="0"/>
      <w:marTop w:val="0"/>
      <w:marBottom w:val="0"/>
      <w:divBdr>
        <w:top w:val="none" w:sz="0" w:space="0" w:color="auto"/>
        <w:left w:val="none" w:sz="0" w:space="0" w:color="auto"/>
        <w:bottom w:val="none" w:sz="0" w:space="0" w:color="auto"/>
        <w:right w:val="none" w:sz="0" w:space="0" w:color="auto"/>
      </w:divBdr>
    </w:div>
    <w:div w:id="453251104">
      <w:bodyDiv w:val="1"/>
      <w:marLeft w:val="0"/>
      <w:marRight w:val="0"/>
      <w:marTop w:val="0"/>
      <w:marBottom w:val="0"/>
      <w:divBdr>
        <w:top w:val="none" w:sz="0" w:space="0" w:color="auto"/>
        <w:left w:val="none" w:sz="0" w:space="0" w:color="auto"/>
        <w:bottom w:val="none" w:sz="0" w:space="0" w:color="auto"/>
        <w:right w:val="none" w:sz="0" w:space="0" w:color="auto"/>
      </w:divBdr>
    </w:div>
    <w:div w:id="483007723">
      <w:bodyDiv w:val="1"/>
      <w:marLeft w:val="0"/>
      <w:marRight w:val="0"/>
      <w:marTop w:val="0"/>
      <w:marBottom w:val="0"/>
      <w:divBdr>
        <w:top w:val="none" w:sz="0" w:space="0" w:color="auto"/>
        <w:left w:val="none" w:sz="0" w:space="0" w:color="auto"/>
        <w:bottom w:val="none" w:sz="0" w:space="0" w:color="auto"/>
        <w:right w:val="none" w:sz="0" w:space="0" w:color="auto"/>
      </w:divBdr>
    </w:div>
    <w:div w:id="502208302">
      <w:bodyDiv w:val="1"/>
      <w:marLeft w:val="0"/>
      <w:marRight w:val="0"/>
      <w:marTop w:val="0"/>
      <w:marBottom w:val="0"/>
      <w:divBdr>
        <w:top w:val="none" w:sz="0" w:space="0" w:color="auto"/>
        <w:left w:val="none" w:sz="0" w:space="0" w:color="auto"/>
        <w:bottom w:val="none" w:sz="0" w:space="0" w:color="auto"/>
        <w:right w:val="none" w:sz="0" w:space="0" w:color="auto"/>
      </w:divBdr>
    </w:div>
    <w:div w:id="502669346">
      <w:bodyDiv w:val="1"/>
      <w:marLeft w:val="0"/>
      <w:marRight w:val="0"/>
      <w:marTop w:val="0"/>
      <w:marBottom w:val="0"/>
      <w:divBdr>
        <w:top w:val="none" w:sz="0" w:space="0" w:color="auto"/>
        <w:left w:val="none" w:sz="0" w:space="0" w:color="auto"/>
        <w:bottom w:val="none" w:sz="0" w:space="0" w:color="auto"/>
        <w:right w:val="none" w:sz="0" w:space="0" w:color="auto"/>
      </w:divBdr>
    </w:div>
    <w:div w:id="581718488">
      <w:bodyDiv w:val="1"/>
      <w:marLeft w:val="0"/>
      <w:marRight w:val="0"/>
      <w:marTop w:val="0"/>
      <w:marBottom w:val="0"/>
      <w:divBdr>
        <w:top w:val="none" w:sz="0" w:space="0" w:color="auto"/>
        <w:left w:val="none" w:sz="0" w:space="0" w:color="auto"/>
        <w:bottom w:val="none" w:sz="0" w:space="0" w:color="auto"/>
        <w:right w:val="none" w:sz="0" w:space="0" w:color="auto"/>
      </w:divBdr>
    </w:div>
    <w:div w:id="588002482">
      <w:bodyDiv w:val="1"/>
      <w:marLeft w:val="0"/>
      <w:marRight w:val="0"/>
      <w:marTop w:val="0"/>
      <w:marBottom w:val="0"/>
      <w:divBdr>
        <w:top w:val="none" w:sz="0" w:space="0" w:color="auto"/>
        <w:left w:val="none" w:sz="0" w:space="0" w:color="auto"/>
        <w:bottom w:val="none" w:sz="0" w:space="0" w:color="auto"/>
        <w:right w:val="none" w:sz="0" w:space="0" w:color="auto"/>
      </w:divBdr>
    </w:div>
    <w:div w:id="626856607">
      <w:bodyDiv w:val="1"/>
      <w:marLeft w:val="0"/>
      <w:marRight w:val="0"/>
      <w:marTop w:val="0"/>
      <w:marBottom w:val="0"/>
      <w:divBdr>
        <w:top w:val="none" w:sz="0" w:space="0" w:color="auto"/>
        <w:left w:val="none" w:sz="0" w:space="0" w:color="auto"/>
        <w:bottom w:val="none" w:sz="0" w:space="0" w:color="auto"/>
        <w:right w:val="none" w:sz="0" w:space="0" w:color="auto"/>
      </w:divBdr>
      <w:divsChild>
        <w:div w:id="2051418950">
          <w:marLeft w:val="0"/>
          <w:marRight w:val="0"/>
          <w:marTop w:val="75"/>
          <w:marBottom w:val="75"/>
          <w:divBdr>
            <w:top w:val="none" w:sz="0" w:space="0" w:color="auto"/>
            <w:left w:val="none" w:sz="0" w:space="0" w:color="auto"/>
            <w:bottom w:val="none" w:sz="0" w:space="0" w:color="auto"/>
            <w:right w:val="none" w:sz="0" w:space="0" w:color="auto"/>
          </w:divBdr>
          <w:divsChild>
            <w:div w:id="855658678">
              <w:marLeft w:val="0"/>
              <w:marRight w:val="0"/>
              <w:marTop w:val="372"/>
              <w:marBottom w:val="0"/>
              <w:divBdr>
                <w:top w:val="none" w:sz="0" w:space="0" w:color="auto"/>
                <w:left w:val="none" w:sz="0" w:space="0" w:color="auto"/>
                <w:bottom w:val="none" w:sz="0" w:space="0" w:color="auto"/>
                <w:right w:val="none" w:sz="0" w:space="0" w:color="auto"/>
              </w:divBdr>
              <w:divsChild>
                <w:div w:id="1191334405">
                  <w:marLeft w:val="0"/>
                  <w:marRight w:val="0"/>
                  <w:marTop w:val="0"/>
                  <w:marBottom w:val="0"/>
                  <w:divBdr>
                    <w:top w:val="none" w:sz="0" w:space="0" w:color="auto"/>
                    <w:left w:val="none" w:sz="0" w:space="0" w:color="auto"/>
                    <w:bottom w:val="none" w:sz="0" w:space="0" w:color="auto"/>
                    <w:right w:val="none" w:sz="0" w:space="0" w:color="auto"/>
                  </w:divBdr>
                  <w:divsChild>
                    <w:div w:id="1790780907">
                      <w:marLeft w:val="0"/>
                      <w:marRight w:val="0"/>
                      <w:marTop w:val="120"/>
                      <w:marBottom w:val="0"/>
                      <w:divBdr>
                        <w:top w:val="single" w:sz="6" w:space="6" w:color="9D9C9C"/>
                        <w:left w:val="single" w:sz="6" w:space="6" w:color="9D9C9C"/>
                        <w:bottom w:val="single" w:sz="6" w:space="6" w:color="9D9C9C"/>
                        <w:right w:val="single" w:sz="6" w:space="6" w:color="9D9C9C"/>
                      </w:divBdr>
                      <w:divsChild>
                        <w:div w:id="1295258711">
                          <w:marLeft w:val="0"/>
                          <w:marRight w:val="0"/>
                          <w:marTop w:val="0"/>
                          <w:marBottom w:val="0"/>
                          <w:divBdr>
                            <w:top w:val="none" w:sz="0" w:space="0" w:color="auto"/>
                            <w:left w:val="none" w:sz="0" w:space="0" w:color="auto"/>
                            <w:bottom w:val="none" w:sz="0" w:space="0" w:color="auto"/>
                            <w:right w:val="none" w:sz="0" w:space="0" w:color="auto"/>
                          </w:divBdr>
                          <w:divsChild>
                            <w:div w:id="324213494">
                              <w:marLeft w:val="0"/>
                              <w:marRight w:val="0"/>
                              <w:marTop w:val="240"/>
                              <w:marBottom w:val="0"/>
                              <w:divBdr>
                                <w:top w:val="none" w:sz="0" w:space="0" w:color="auto"/>
                                <w:left w:val="none" w:sz="0" w:space="0" w:color="auto"/>
                                <w:bottom w:val="none" w:sz="0" w:space="0" w:color="auto"/>
                                <w:right w:val="none" w:sz="0" w:space="0" w:color="auto"/>
                              </w:divBdr>
                              <w:divsChild>
                                <w:div w:id="1318996547">
                                  <w:marLeft w:val="0"/>
                                  <w:marRight w:val="0"/>
                                  <w:marTop w:val="0"/>
                                  <w:marBottom w:val="0"/>
                                  <w:divBdr>
                                    <w:top w:val="none" w:sz="0" w:space="0" w:color="auto"/>
                                    <w:left w:val="none" w:sz="0" w:space="0" w:color="auto"/>
                                    <w:bottom w:val="none" w:sz="0" w:space="0" w:color="auto"/>
                                    <w:right w:val="none" w:sz="0" w:space="0" w:color="auto"/>
                                  </w:divBdr>
                                  <w:divsChild>
                                    <w:div w:id="3499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9212707">
      <w:bodyDiv w:val="1"/>
      <w:marLeft w:val="0"/>
      <w:marRight w:val="0"/>
      <w:marTop w:val="0"/>
      <w:marBottom w:val="0"/>
      <w:divBdr>
        <w:top w:val="none" w:sz="0" w:space="0" w:color="auto"/>
        <w:left w:val="none" w:sz="0" w:space="0" w:color="auto"/>
        <w:bottom w:val="none" w:sz="0" w:space="0" w:color="auto"/>
        <w:right w:val="none" w:sz="0" w:space="0" w:color="auto"/>
      </w:divBdr>
    </w:div>
    <w:div w:id="660543521">
      <w:bodyDiv w:val="1"/>
      <w:marLeft w:val="0"/>
      <w:marRight w:val="0"/>
      <w:marTop w:val="0"/>
      <w:marBottom w:val="0"/>
      <w:divBdr>
        <w:top w:val="none" w:sz="0" w:space="0" w:color="auto"/>
        <w:left w:val="none" w:sz="0" w:space="0" w:color="auto"/>
        <w:bottom w:val="none" w:sz="0" w:space="0" w:color="auto"/>
        <w:right w:val="none" w:sz="0" w:space="0" w:color="auto"/>
      </w:divBdr>
    </w:div>
    <w:div w:id="676928051">
      <w:bodyDiv w:val="1"/>
      <w:marLeft w:val="0"/>
      <w:marRight w:val="0"/>
      <w:marTop w:val="0"/>
      <w:marBottom w:val="0"/>
      <w:divBdr>
        <w:top w:val="none" w:sz="0" w:space="0" w:color="auto"/>
        <w:left w:val="none" w:sz="0" w:space="0" w:color="auto"/>
        <w:bottom w:val="none" w:sz="0" w:space="0" w:color="auto"/>
        <w:right w:val="none" w:sz="0" w:space="0" w:color="auto"/>
      </w:divBdr>
    </w:div>
    <w:div w:id="681275046">
      <w:bodyDiv w:val="1"/>
      <w:marLeft w:val="0"/>
      <w:marRight w:val="0"/>
      <w:marTop w:val="0"/>
      <w:marBottom w:val="0"/>
      <w:divBdr>
        <w:top w:val="none" w:sz="0" w:space="0" w:color="auto"/>
        <w:left w:val="none" w:sz="0" w:space="0" w:color="auto"/>
        <w:bottom w:val="none" w:sz="0" w:space="0" w:color="auto"/>
        <w:right w:val="none" w:sz="0" w:space="0" w:color="auto"/>
      </w:divBdr>
      <w:divsChild>
        <w:div w:id="835999424">
          <w:marLeft w:val="0"/>
          <w:marRight w:val="0"/>
          <w:marTop w:val="0"/>
          <w:marBottom w:val="0"/>
          <w:divBdr>
            <w:top w:val="none" w:sz="0" w:space="0" w:color="auto"/>
            <w:left w:val="none" w:sz="0" w:space="0" w:color="auto"/>
            <w:bottom w:val="none" w:sz="0" w:space="0" w:color="auto"/>
            <w:right w:val="none" w:sz="0" w:space="0" w:color="auto"/>
          </w:divBdr>
          <w:divsChild>
            <w:div w:id="1276719582">
              <w:marLeft w:val="0"/>
              <w:marRight w:val="0"/>
              <w:marTop w:val="0"/>
              <w:marBottom w:val="0"/>
              <w:divBdr>
                <w:top w:val="none" w:sz="0" w:space="0" w:color="auto"/>
                <w:left w:val="none" w:sz="0" w:space="0" w:color="auto"/>
                <w:bottom w:val="none" w:sz="0" w:space="0" w:color="auto"/>
                <w:right w:val="none" w:sz="0" w:space="0" w:color="auto"/>
              </w:divBdr>
              <w:divsChild>
                <w:div w:id="1985043434">
                  <w:marLeft w:val="0"/>
                  <w:marRight w:val="0"/>
                  <w:marTop w:val="0"/>
                  <w:marBottom w:val="0"/>
                  <w:divBdr>
                    <w:top w:val="none" w:sz="0" w:space="0" w:color="auto"/>
                    <w:left w:val="none" w:sz="0" w:space="0" w:color="auto"/>
                    <w:bottom w:val="none" w:sz="0" w:space="0" w:color="auto"/>
                    <w:right w:val="none" w:sz="0" w:space="0" w:color="auto"/>
                  </w:divBdr>
                  <w:divsChild>
                    <w:div w:id="1900091090">
                      <w:marLeft w:val="0"/>
                      <w:marRight w:val="0"/>
                      <w:marTop w:val="45"/>
                      <w:marBottom w:val="0"/>
                      <w:divBdr>
                        <w:top w:val="none" w:sz="0" w:space="0" w:color="auto"/>
                        <w:left w:val="none" w:sz="0" w:space="0" w:color="auto"/>
                        <w:bottom w:val="none" w:sz="0" w:space="0" w:color="auto"/>
                        <w:right w:val="none" w:sz="0" w:space="0" w:color="auto"/>
                      </w:divBdr>
                      <w:divsChild>
                        <w:div w:id="877930155">
                          <w:marLeft w:val="0"/>
                          <w:marRight w:val="0"/>
                          <w:marTop w:val="0"/>
                          <w:marBottom w:val="0"/>
                          <w:divBdr>
                            <w:top w:val="none" w:sz="0" w:space="0" w:color="auto"/>
                            <w:left w:val="none" w:sz="0" w:space="0" w:color="auto"/>
                            <w:bottom w:val="none" w:sz="0" w:space="0" w:color="auto"/>
                            <w:right w:val="none" w:sz="0" w:space="0" w:color="auto"/>
                          </w:divBdr>
                          <w:divsChild>
                            <w:div w:id="1378164042">
                              <w:marLeft w:val="2070"/>
                              <w:marRight w:val="3960"/>
                              <w:marTop w:val="0"/>
                              <w:marBottom w:val="0"/>
                              <w:divBdr>
                                <w:top w:val="none" w:sz="0" w:space="0" w:color="auto"/>
                                <w:left w:val="none" w:sz="0" w:space="0" w:color="auto"/>
                                <w:bottom w:val="none" w:sz="0" w:space="0" w:color="auto"/>
                                <w:right w:val="none" w:sz="0" w:space="0" w:color="auto"/>
                              </w:divBdr>
                              <w:divsChild>
                                <w:div w:id="180439327">
                                  <w:marLeft w:val="0"/>
                                  <w:marRight w:val="0"/>
                                  <w:marTop w:val="0"/>
                                  <w:marBottom w:val="0"/>
                                  <w:divBdr>
                                    <w:top w:val="none" w:sz="0" w:space="0" w:color="auto"/>
                                    <w:left w:val="none" w:sz="0" w:space="0" w:color="auto"/>
                                    <w:bottom w:val="none" w:sz="0" w:space="0" w:color="auto"/>
                                    <w:right w:val="none" w:sz="0" w:space="0" w:color="auto"/>
                                  </w:divBdr>
                                  <w:divsChild>
                                    <w:div w:id="1271157779">
                                      <w:marLeft w:val="0"/>
                                      <w:marRight w:val="0"/>
                                      <w:marTop w:val="0"/>
                                      <w:marBottom w:val="0"/>
                                      <w:divBdr>
                                        <w:top w:val="none" w:sz="0" w:space="0" w:color="auto"/>
                                        <w:left w:val="none" w:sz="0" w:space="0" w:color="auto"/>
                                        <w:bottom w:val="none" w:sz="0" w:space="0" w:color="auto"/>
                                        <w:right w:val="none" w:sz="0" w:space="0" w:color="auto"/>
                                      </w:divBdr>
                                      <w:divsChild>
                                        <w:div w:id="1367757842">
                                          <w:marLeft w:val="0"/>
                                          <w:marRight w:val="0"/>
                                          <w:marTop w:val="0"/>
                                          <w:marBottom w:val="0"/>
                                          <w:divBdr>
                                            <w:top w:val="none" w:sz="0" w:space="0" w:color="auto"/>
                                            <w:left w:val="none" w:sz="0" w:space="0" w:color="auto"/>
                                            <w:bottom w:val="none" w:sz="0" w:space="0" w:color="auto"/>
                                            <w:right w:val="none" w:sz="0" w:space="0" w:color="auto"/>
                                          </w:divBdr>
                                          <w:divsChild>
                                            <w:div w:id="33694401">
                                              <w:marLeft w:val="0"/>
                                              <w:marRight w:val="0"/>
                                              <w:marTop w:val="90"/>
                                              <w:marBottom w:val="0"/>
                                              <w:divBdr>
                                                <w:top w:val="none" w:sz="0" w:space="0" w:color="auto"/>
                                                <w:left w:val="none" w:sz="0" w:space="0" w:color="auto"/>
                                                <w:bottom w:val="none" w:sz="0" w:space="0" w:color="auto"/>
                                                <w:right w:val="none" w:sz="0" w:space="0" w:color="auto"/>
                                              </w:divBdr>
                                              <w:divsChild>
                                                <w:div w:id="223027816">
                                                  <w:marLeft w:val="0"/>
                                                  <w:marRight w:val="0"/>
                                                  <w:marTop w:val="0"/>
                                                  <w:marBottom w:val="0"/>
                                                  <w:divBdr>
                                                    <w:top w:val="none" w:sz="0" w:space="0" w:color="auto"/>
                                                    <w:left w:val="none" w:sz="0" w:space="0" w:color="auto"/>
                                                    <w:bottom w:val="none" w:sz="0" w:space="0" w:color="auto"/>
                                                    <w:right w:val="none" w:sz="0" w:space="0" w:color="auto"/>
                                                  </w:divBdr>
                                                  <w:divsChild>
                                                    <w:div w:id="381561686">
                                                      <w:marLeft w:val="0"/>
                                                      <w:marRight w:val="0"/>
                                                      <w:marTop w:val="0"/>
                                                      <w:marBottom w:val="0"/>
                                                      <w:divBdr>
                                                        <w:top w:val="none" w:sz="0" w:space="0" w:color="auto"/>
                                                        <w:left w:val="none" w:sz="0" w:space="0" w:color="auto"/>
                                                        <w:bottom w:val="none" w:sz="0" w:space="0" w:color="auto"/>
                                                        <w:right w:val="none" w:sz="0" w:space="0" w:color="auto"/>
                                                      </w:divBdr>
                                                      <w:divsChild>
                                                        <w:div w:id="1840580115">
                                                          <w:marLeft w:val="0"/>
                                                          <w:marRight w:val="0"/>
                                                          <w:marTop w:val="0"/>
                                                          <w:marBottom w:val="0"/>
                                                          <w:divBdr>
                                                            <w:top w:val="none" w:sz="0" w:space="0" w:color="auto"/>
                                                            <w:left w:val="none" w:sz="0" w:space="0" w:color="auto"/>
                                                            <w:bottom w:val="none" w:sz="0" w:space="0" w:color="auto"/>
                                                            <w:right w:val="none" w:sz="0" w:space="0" w:color="auto"/>
                                                          </w:divBdr>
                                                          <w:divsChild>
                                                            <w:div w:id="143670846">
                                                              <w:marLeft w:val="0"/>
                                                              <w:marRight w:val="0"/>
                                                              <w:marTop w:val="0"/>
                                                              <w:marBottom w:val="390"/>
                                                              <w:divBdr>
                                                                <w:top w:val="none" w:sz="0" w:space="0" w:color="auto"/>
                                                                <w:left w:val="none" w:sz="0" w:space="0" w:color="auto"/>
                                                                <w:bottom w:val="none" w:sz="0" w:space="0" w:color="auto"/>
                                                                <w:right w:val="none" w:sz="0" w:space="0" w:color="auto"/>
                                                              </w:divBdr>
                                                              <w:divsChild>
                                                                <w:div w:id="1891919109">
                                                                  <w:marLeft w:val="0"/>
                                                                  <w:marRight w:val="0"/>
                                                                  <w:marTop w:val="0"/>
                                                                  <w:marBottom w:val="0"/>
                                                                  <w:divBdr>
                                                                    <w:top w:val="none" w:sz="0" w:space="0" w:color="auto"/>
                                                                    <w:left w:val="none" w:sz="0" w:space="0" w:color="auto"/>
                                                                    <w:bottom w:val="none" w:sz="0" w:space="0" w:color="auto"/>
                                                                    <w:right w:val="none" w:sz="0" w:space="0" w:color="auto"/>
                                                                  </w:divBdr>
                                                                  <w:divsChild>
                                                                    <w:div w:id="1287850338">
                                                                      <w:marLeft w:val="0"/>
                                                                      <w:marRight w:val="0"/>
                                                                      <w:marTop w:val="0"/>
                                                                      <w:marBottom w:val="0"/>
                                                                      <w:divBdr>
                                                                        <w:top w:val="none" w:sz="0" w:space="0" w:color="auto"/>
                                                                        <w:left w:val="none" w:sz="0" w:space="0" w:color="auto"/>
                                                                        <w:bottom w:val="none" w:sz="0" w:space="0" w:color="auto"/>
                                                                        <w:right w:val="none" w:sz="0" w:space="0" w:color="auto"/>
                                                                      </w:divBdr>
                                                                      <w:divsChild>
                                                                        <w:div w:id="1898130430">
                                                                          <w:marLeft w:val="0"/>
                                                                          <w:marRight w:val="0"/>
                                                                          <w:marTop w:val="0"/>
                                                                          <w:marBottom w:val="0"/>
                                                                          <w:divBdr>
                                                                            <w:top w:val="none" w:sz="0" w:space="0" w:color="auto"/>
                                                                            <w:left w:val="none" w:sz="0" w:space="0" w:color="auto"/>
                                                                            <w:bottom w:val="none" w:sz="0" w:space="0" w:color="auto"/>
                                                                            <w:right w:val="none" w:sz="0" w:space="0" w:color="auto"/>
                                                                          </w:divBdr>
                                                                          <w:divsChild>
                                                                            <w:div w:id="1237787643">
                                                                              <w:marLeft w:val="0"/>
                                                                              <w:marRight w:val="0"/>
                                                                              <w:marTop w:val="0"/>
                                                                              <w:marBottom w:val="0"/>
                                                                              <w:divBdr>
                                                                                <w:top w:val="none" w:sz="0" w:space="0" w:color="auto"/>
                                                                                <w:left w:val="none" w:sz="0" w:space="0" w:color="auto"/>
                                                                                <w:bottom w:val="none" w:sz="0" w:space="0" w:color="auto"/>
                                                                                <w:right w:val="none" w:sz="0" w:space="0" w:color="auto"/>
                                                                              </w:divBdr>
                                                                              <w:divsChild>
                                                                                <w:div w:id="2010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0104624">
      <w:bodyDiv w:val="1"/>
      <w:marLeft w:val="0"/>
      <w:marRight w:val="0"/>
      <w:marTop w:val="0"/>
      <w:marBottom w:val="0"/>
      <w:divBdr>
        <w:top w:val="none" w:sz="0" w:space="0" w:color="auto"/>
        <w:left w:val="none" w:sz="0" w:space="0" w:color="auto"/>
        <w:bottom w:val="none" w:sz="0" w:space="0" w:color="auto"/>
        <w:right w:val="none" w:sz="0" w:space="0" w:color="auto"/>
      </w:divBdr>
    </w:div>
    <w:div w:id="811408708">
      <w:bodyDiv w:val="1"/>
      <w:marLeft w:val="0"/>
      <w:marRight w:val="0"/>
      <w:marTop w:val="0"/>
      <w:marBottom w:val="0"/>
      <w:divBdr>
        <w:top w:val="none" w:sz="0" w:space="0" w:color="auto"/>
        <w:left w:val="none" w:sz="0" w:space="0" w:color="auto"/>
        <w:bottom w:val="none" w:sz="0" w:space="0" w:color="auto"/>
        <w:right w:val="none" w:sz="0" w:space="0" w:color="auto"/>
      </w:divBdr>
    </w:div>
    <w:div w:id="811756522">
      <w:bodyDiv w:val="1"/>
      <w:marLeft w:val="0"/>
      <w:marRight w:val="0"/>
      <w:marTop w:val="0"/>
      <w:marBottom w:val="0"/>
      <w:divBdr>
        <w:top w:val="none" w:sz="0" w:space="0" w:color="auto"/>
        <w:left w:val="none" w:sz="0" w:space="0" w:color="auto"/>
        <w:bottom w:val="none" w:sz="0" w:space="0" w:color="auto"/>
        <w:right w:val="none" w:sz="0" w:space="0" w:color="auto"/>
      </w:divBdr>
    </w:div>
    <w:div w:id="869614033">
      <w:bodyDiv w:val="1"/>
      <w:marLeft w:val="0"/>
      <w:marRight w:val="0"/>
      <w:marTop w:val="0"/>
      <w:marBottom w:val="0"/>
      <w:divBdr>
        <w:top w:val="none" w:sz="0" w:space="0" w:color="auto"/>
        <w:left w:val="none" w:sz="0" w:space="0" w:color="auto"/>
        <w:bottom w:val="none" w:sz="0" w:space="0" w:color="auto"/>
        <w:right w:val="none" w:sz="0" w:space="0" w:color="auto"/>
      </w:divBdr>
    </w:div>
    <w:div w:id="875390963">
      <w:bodyDiv w:val="1"/>
      <w:marLeft w:val="0"/>
      <w:marRight w:val="0"/>
      <w:marTop w:val="0"/>
      <w:marBottom w:val="0"/>
      <w:divBdr>
        <w:top w:val="none" w:sz="0" w:space="0" w:color="auto"/>
        <w:left w:val="none" w:sz="0" w:space="0" w:color="auto"/>
        <w:bottom w:val="none" w:sz="0" w:space="0" w:color="auto"/>
        <w:right w:val="none" w:sz="0" w:space="0" w:color="auto"/>
      </w:divBdr>
    </w:div>
    <w:div w:id="916287886">
      <w:bodyDiv w:val="1"/>
      <w:marLeft w:val="0"/>
      <w:marRight w:val="0"/>
      <w:marTop w:val="0"/>
      <w:marBottom w:val="0"/>
      <w:divBdr>
        <w:top w:val="none" w:sz="0" w:space="0" w:color="auto"/>
        <w:left w:val="none" w:sz="0" w:space="0" w:color="auto"/>
        <w:bottom w:val="none" w:sz="0" w:space="0" w:color="auto"/>
        <w:right w:val="none" w:sz="0" w:space="0" w:color="auto"/>
      </w:divBdr>
    </w:div>
    <w:div w:id="998382945">
      <w:bodyDiv w:val="1"/>
      <w:marLeft w:val="0"/>
      <w:marRight w:val="0"/>
      <w:marTop w:val="0"/>
      <w:marBottom w:val="0"/>
      <w:divBdr>
        <w:top w:val="none" w:sz="0" w:space="0" w:color="auto"/>
        <w:left w:val="none" w:sz="0" w:space="0" w:color="auto"/>
        <w:bottom w:val="none" w:sz="0" w:space="0" w:color="auto"/>
        <w:right w:val="none" w:sz="0" w:space="0" w:color="auto"/>
      </w:divBdr>
    </w:div>
    <w:div w:id="1018506963">
      <w:bodyDiv w:val="1"/>
      <w:marLeft w:val="0"/>
      <w:marRight w:val="0"/>
      <w:marTop w:val="0"/>
      <w:marBottom w:val="0"/>
      <w:divBdr>
        <w:top w:val="none" w:sz="0" w:space="0" w:color="auto"/>
        <w:left w:val="none" w:sz="0" w:space="0" w:color="auto"/>
        <w:bottom w:val="none" w:sz="0" w:space="0" w:color="auto"/>
        <w:right w:val="none" w:sz="0" w:space="0" w:color="auto"/>
      </w:divBdr>
      <w:divsChild>
        <w:div w:id="676083887">
          <w:marLeft w:val="0"/>
          <w:marRight w:val="0"/>
          <w:marTop w:val="0"/>
          <w:marBottom w:val="0"/>
          <w:divBdr>
            <w:top w:val="none" w:sz="0" w:space="0" w:color="auto"/>
            <w:left w:val="none" w:sz="0" w:space="0" w:color="auto"/>
            <w:bottom w:val="none" w:sz="0" w:space="0" w:color="auto"/>
            <w:right w:val="none" w:sz="0" w:space="0" w:color="auto"/>
          </w:divBdr>
          <w:divsChild>
            <w:div w:id="1057238200">
              <w:marLeft w:val="0"/>
              <w:marRight w:val="0"/>
              <w:marTop w:val="0"/>
              <w:marBottom w:val="1680"/>
              <w:divBdr>
                <w:top w:val="none" w:sz="0" w:space="0" w:color="auto"/>
                <w:left w:val="single" w:sz="6" w:space="0" w:color="B3C2D1"/>
                <w:bottom w:val="single" w:sz="6" w:space="0" w:color="B3C2D1"/>
                <w:right w:val="single" w:sz="6" w:space="0" w:color="B3C2D1"/>
              </w:divBdr>
              <w:divsChild>
                <w:div w:id="343216821">
                  <w:marLeft w:val="0"/>
                  <w:marRight w:val="0"/>
                  <w:marTop w:val="0"/>
                  <w:marBottom w:val="0"/>
                  <w:divBdr>
                    <w:top w:val="none" w:sz="0" w:space="0" w:color="auto"/>
                    <w:left w:val="none" w:sz="0" w:space="0" w:color="auto"/>
                    <w:bottom w:val="none" w:sz="0" w:space="0" w:color="auto"/>
                    <w:right w:val="none" w:sz="0" w:space="0" w:color="auto"/>
                  </w:divBdr>
                  <w:divsChild>
                    <w:div w:id="572854434">
                      <w:marLeft w:val="480"/>
                      <w:marRight w:val="480"/>
                      <w:marTop w:val="300"/>
                      <w:marBottom w:val="0"/>
                      <w:divBdr>
                        <w:top w:val="none" w:sz="0" w:space="0" w:color="auto"/>
                        <w:left w:val="none" w:sz="0" w:space="0" w:color="auto"/>
                        <w:bottom w:val="none" w:sz="0" w:space="0" w:color="auto"/>
                        <w:right w:val="none" w:sz="0" w:space="0" w:color="auto"/>
                      </w:divBdr>
                      <w:divsChild>
                        <w:div w:id="1769422853">
                          <w:marLeft w:val="0"/>
                          <w:marRight w:val="0"/>
                          <w:marTop w:val="0"/>
                          <w:marBottom w:val="0"/>
                          <w:divBdr>
                            <w:top w:val="single" w:sz="6" w:space="0" w:color="99AEC2"/>
                            <w:left w:val="single" w:sz="6" w:space="0" w:color="99AEC2"/>
                            <w:bottom w:val="single" w:sz="6" w:space="0" w:color="99AEC2"/>
                            <w:right w:val="single" w:sz="6" w:space="0" w:color="99AEC2"/>
                          </w:divBdr>
                          <w:divsChild>
                            <w:div w:id="1760637601">
                              <w:marLeft w:val="0"/>
                              <w:marRight w:val="0"/>
                              <w:marTop w:val="0"/>
                              <w:marBottom w:val="0"/>
                              <w:divBdr>
                                <w:top w:val="none" w:sz="0" w:space="0" w:color="auto"/>
                                <w:left w:val="none" w:sz="0" w:space="0" w:color="auto"/>
                                <w:bottom w:val="none" w:sz="0" w:space="0" w:color="auto"/>
                                <w:right w:val="none" w:sz="0" w:space="0" w:color="auto"/>
                              </w:divBdr>
                              <w:divsChild>
                                <w:div w:id="1151603716">
                                  <w:marLeft w:val="0"/>
                                  <w:marRight w:val="0"/>
                                  <w:marTop w:val="0"/>
                                  <w:marBottom w:val="0"/>
                                  <w:divBdr>
                                    <w:top w:val="none" w:sz="0" w:space="0" w:color="auto"/>
                                    <w:left w:val="none" w:sz="0" w:space="0" w:color="auto"/>
                                    <w:bottom w:val="none" w:sz="0" w:space="0" w:color="auto"/>
                                    <w:right w:val="none" w:sz="0" w:space="0" w:color="auto"/>
                                  </w:divBdr>
                                  <w:divsChild>
                                    <w:div w:id="1688751078">
                                      <w:marLeft w:val="0"/>
                                      <w:marRight w:val="0"/>
                                      <w:marTop w:val="0"/>
                                      <w:marBottom w:val="0"/>
                                      <w:divBdr>
                                        <w:top w:val="none" w:sz="0" w:space="0" w:color="auto"/>
                                        <w:left w:val="none" w:sz="0" w:space="0" w:color="auto"/>
                                        <w:bottom w:val="none" w:sz="0" w:space="0" w:color="auto"/>
                                        <w:right w:val="none" w:sz="0" w:space="0" w:color="auto"/>
                                      </w:divBdr>
                                      <w:divsChild>
                                        <w:div w:id="346103786">
                                          <w:marLeft w:val="0"/>
                                          <w:marRight w:val="0"/>
                                          <w:marTop w:val="0"/>
                                          <w:marBottom w:val="0"/>
                                          <w:divBdr>
                                            <w:top w:val="none" w:sz="0" w:space="0" w:color="auto"/>
                                            <w:left w:val="none" w:sz="0" w:space="0" w:color="auto"/>
                                            <w:bottom w:val="none" w:sz="0" w:space="0" w:color="auto"/>
                                            <w:right w:val="none" w:sz="0" w:space="0" w:color="auto"/>
                                          </w:divBdr>
                                          <w:divsChild>
                                            <w:div w:id="18497543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094393">
      <w:bodyDiv w:val="1"/>
      <w:marLeft w:val="0"/>
      <w:marRight w:val="0"/>
      <w:marTop w:val="0"/>
      <w:marBottom w:val="0"/>
      <w:divBdr>
        <w:top w:val="none" w:sz="0" w:space="0" w:color="auto"/>
        <w:left w:val="none" w:sz="0" w:space="0" w:color="auto"/>
        <w:bottom w:val="none" w:sz="0" w:space="0" w:color="auto"/>
        <w:right w:val="none" w:sz="0" w:space="0" w:color="auto"/>
      </w:divBdr>
    </w:div>
    <w:div w:id="1042248058">
      <w:bodyDiv w:val="1"/>
      <w:marLeft w:val="0"/>
      <w:marRight w:val="0"/>
      <w:marTop w:val="0"/>
      <w:marBottom w:val="0"/>
      <w:divBdr>
        <w:top w:val="none" w:sz="0" w:space="0" w:color="auto"/>
        <w:left w:val="none" w:sz="0" w:space="0" w:color="auto"/>
        <w:bottom w:val="none" w:sz="0" w:space="0" w:color="auto"/>
        <w:right w:val="none" w:sz="0" w:space="0" w:color="auto"/>
      </w:divBdr>
    </w:div>
    <w:div w:id="1086876402">
      <w:bodyDiv w:val="1"/>
      <w:marLeft w:val="0"/>
      <w:marRight w:val="0"/>
      <w:marTop w:val="0"/>
      <w:marBottom w:val="0"/>
      <w:divBdr>
        <w:top w:val="none" w:sz="0" w:space="0" w:color="auto"/>
        <w:left w:val="none" w:sz="0" w:space="0" w:color="auto"/>
        <w:bottom w:val="none" w:sz="0" w:space="0" w:color="auto"/>
        <w:right w:val="none" w:sz="0" w:space="0" w:color="auto"/>
      </w:divBdr>
      <w:divsChild>
        <w:div w:id="876743342">
          <w:marLeft w:val="0"/>
          <w:marRight w:val="225"/>
          <w:marTop w:val="0"/>
          <w:marBottom w:val="225"/>
          <w:divBdr>
            <w:top w:val="none" w:sz="0" w:space="0" w:color="auto"/>
            <w:left w:val="none" w:sz="0" w:space="0" w:color="auto"/>
            <w:bottom w:val="none" w:sz="0" w:space="0" w:color="auto"/>
            <w:right w:val="none" w:sz="0" w:space="0" w:color="auto"/>
          </w:divBdr>
          <w:divsChild>
            <w:div w:id="52434086">
              <w:marLeft w:val="0"/>
              <w:marRight w:val="0"/>
              <w:marTop w:val="0"/>
              <w:marBottom w:val="0"/>
              <w:divBdr>
                <w:top w:val="none" w:sz="0" w:space="0" w:color="auto"/>
                <w:left w:val="none" w:sz="0" w:space="0" w:color="auto"/>
                <w:bottom w:val="none" w:sz="0" w:space="0" w:color="auto"/>
                <w:right w:val="none" w:sz="0" w:space="0" w:color="auto"/>
              </w:divBdr>
              <w:divsChild>
                <w:div w:id="1272783517">
                  <w:marLeft w:val="0"/>
                  <w:marRight w:val="0"/>
                  <w:marTop w:val="0"/>
                  <w:marBottom w:val="0"/>
                  <w:divBdr>
                    <w:top w:val="none" w:sz="0" w:space="0" w:color="auto"/>
                    <w:left w:val="none" w:sz="0" w:space="0" w:color="auto"/>
                    <w:bottom w:val="none" w:sz="0" w:space="0" w:color="auto"/>
                    <w:right w:val="none" w:sz="0" w:space="0" w:color="auto"/>
                  </w:divBdr>
                  <w:divsChild>
                    <w:div w:id="1604067896">
                      <w:marLeft w:val="0"/>
                      <w:marRight w:val="0"/>
                      <w:marTop w:val="0"/>
                      <w:marBottom w:val="0"/>
                      <w:divBdr>
                        <w:top w:val="none" w:sz="0" w:space="0" w:color="auto"/>
                        <w:left w:val="none" w:sz="0" w:space="0" w:color="auto"/>
                        <w:bottom w:val="none" w:sz="0" w:space="0" w:color="auto"/>
                        <w:right w:val="none" w:sz="0" w:space="0" w:color="auto"/>
                      </w:divBdr>
                      <w:divsChild>
                        <w:div w:id="1015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2661">
      <w:bodyDiv w:val="1"/>
      <w:marLeft w:val="0"/>
      <w:marRight w:val="0"/>
      <w:marTop w:val="0"/>
      <w:marBottom w:val="0"/>
      <w:divBdr>
        <w:top w:val="none" w:sz="0" w:space="0" w:color="auto"/>
        <w:left w:val="none" w:sz="0" w:space="0" w:color="auto"/>
        <w:bottom w:val="none" w:sz="0" w:space="0" w:color="auto"/>
        <w:right w:val="none" w:sz="0" w:space="0" w:color="auto"/>
      </w:divBdr>
    </w:div>
    <w:div w:id="1178958435">
      <w:bodyDiv w:val="1"/>
      <w:marLeft w:val="0"/>
      <w:marRight w:val="0"/>
      <w:marTop w:val="0"/>
      <w:marBottom w:val="0"/>
      <w:divBdr>
        <w:top w:val="none" w:sz="0" w:space="0" w:color="auto"/>
        <w:left w:val="none" w:sz="0" w:space="0" w:color="auto"/>
        <w:bottom w:val="none" w:sz="0" w:space="0" w:color="auto"/>
        <w:right w:val="none" w:sz="0" w:space="0" w:color="auto"/>
      </w:divBdr>
    </w:div>
    <w:div w:id="1187140276">
      <w:bodyDiv w:val="1"/>
      <w:marLeft w:val="0"/>
      <w:marRight w:val="0"/>
      <w:marTop w:val="0"/>
      <w:marBottom w:val="0"/>
      <w:divBdr>
        <w:top w:val="none" w:sz="0" w:space="0" w:color="auto"/>
        <w:left w:val="none" w:sz="0" w:space="0" w:color="auto"/>
        <w:bottom w:val="none" w:sz="0" w:space="0" w:color="auto"/>
        <w:right w:val="none" w:sz="0" w:space="0" w:color="auto"/>
      </w:divBdr>
      <w:divsChild>
        <w:div w:id="1421297891">
          <w:marLeft w:val="0"/>
          <w:marRight w:val="0"/>
          <w:marTop w:val="0"/>
          <w:marBottom w:val="0"/>
          <w:divBdr>
            <w:top w:val="none" w:sz="0" w:space="0" w:color="auto"/>
            <w:left w:val="none" w:sz="0" w:space="0" w:color="auto"/>
            <w:bottom w:val="none" w:sz="0" w:space="0" w:color="auto"/>
            <w:right w:val="none" w:sz="0" w:space="0" w:color="auto"/>
          </w:divBdr>
          <w:divsChild>
            <w:div w:id="906916537">
              <w:marLeft w:val="0"/>
              <w:marRight w:val="0"/>
              <w:marTop w:val="0"/>
              <w:marBottom w:val="0"/>
              <w:divBdr>
                <w:top w:val="none" w:sz="0" w:space="0" w:color="auto"/>
                <w:left w:val="none" w:sz="0" w:space="0" w:color="auto"/>
                <w:bottom w:val="none" w:sz="0" w:space="0" w:color="auto"/>
                <w:right w:val="none" w:sz="0" w:space="0" w:color="auto"/>
              </w:divBdr>
              <w:divsChild>
                <w:div w:id="139790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49853">
      <w:bodyDiv w:val="1"/>
      <w:marLeft w:val="0"/>
      <w:marRight w:val="0"/>
      <w:marTop w:val="0"/>
      <w:marBottom w:val="0"/>
      <w:divBdr>
        <w:top w:val="none" w:sz="0" w:space="0" w:color="auto"/>
        <w:left w:val="none" w:sz="0" w:space="0" w:color="auto"/>
        <w:bottom w:val="none" w:sz="0" w:space="0" w:color="auto"/>
        <w:right w:val="none" w:sz="0" w:space="0" w:color="auto"/>
      </w:divBdr>
    </w:div>
    <w:div w:id="1200628609">
      <w:bodyDiv w:val="1"/>
      <w:marLeft w:val="0"/>
      <w:marRight w:val="0"/>
      <w:marTop w:val="0"/>
      <w:marBottom w:val="0"/>
      <w:divBdr>
        <w:top w:val="none" w:sz="0" w:space="0" w:color="auto"/>
        <w:left w:val="none" w:sz="0" w:space="0" w:color="auto"/>
        <w:bottom w:val="none" w:sz="0" w:space="0" w:color="auto"/>
        <w:right w:val="none" w:sz="0" w:space="0" w:color="auto"/>
      </w:divBdr>
    </w:div>
    <w:div w:id="1202284586">
      <w:bodyDiv w:val="1"/>
      <w:marLeft w:val="0"/>
      <w:marRight w:val="0"/>
      <w:marTop w:val="0"/>
      <w:marBottom w:val="0"/>
      <w:divBdr>
        <w:top w:val="none" w:sz="0" w:space="0" w:color="auto"/>
        <w:left w:val="none" w:sz="0" w:space="0" w:color="auto"/>
        <w:bottom w:val="none" w:sz="0" w:space="0" w:color="auto"/>
        <w:right w:val="none" w:sz="0" w:space="0" w:color="auto"/>
      </w:divBdr>
    </w:div>
    <w:div w:id="1202480856">
      <w:bodyDiv w:val="1"/>
      <w:marLeft w:val="0"/>
      <w:marRight w:val="0"/>
      <w:marTop w:val="0"/>
      <w:marBottom w:val="0"/>
      <w:divBdr>
        <w:top w:val="none" w:sz="0" w:space="0" w:color="auto"/>
        <w:left w:val="none" w:sz="0" w:space="0" w:color="auto"/>
        <w:bottom w:val="none" w:sz="0" w:space="0" w:color="auto"/>
        <w:right w:val="none" w:sz="0" w:space="0" w:color="auto"/>
      </w:divBdr>
    </w:div>
    <w:div w:id="1232082580">
      <w:bodyDiv w:val="1"/>
      <w:marLeft w:val="0"/>
      <w:marRight w:val="0"/>
      <w:marTop w:val="0"/>
      <w:marBottom w:val="0"/>
      <w:divBdr>
        <w:top w:val="none" w:sz="0" w:space="0" w:color="auto"/>
        <w:left w:val="none" w:sz="0" w:space="0" w:color="auto"/>
        <w:bottom w:val="none" w:sz="0" w:space="0" w:color="auto"/>
        <w:right w:val="none" w:sz="0" w:space="0" w:color="auto"/>
      </w:divBdr>
      <w:divsChild>
        <w:div w:id="925961022">
          <w:marLeft w:val="0"/>
          <w:marRight w:val="0"/>
          <w:marTop w:val="0"/>
          <w:marBottom w:val="0"/>
          <w:divBdr>
            <w:top w:val="none" w:sz="0" w:space="0" w:color="auto"/>
            <w:left w:val="none" w:sz="0" w:space="0" w:color="auto"/>
            <w:bottom w:val="none" w:sz="0" w:space="0" w:color="auto"/>
            <w:right w:val="none" w:sz="0" w:space="0" w:color="auto"/>
          </w:divBdr>
          <w:divsChild>
            <w:div w:id="1220245203">
              <w:marLeft w:val="0"/>
              <w:marRight w:val="0"/>
              <w:marTop w:val="0"/>
              <w:marBottom w:val="0"/>
              <w:divBdr>
                <w:top w:val="none" w:sz="0" w:space="0" w:color="auto"/>
                <w:left w:val="none" w:sz="0" w:space="0" w:color="auto"/>
                <w:bottom w:val="none" w:sz="0" w:space="0" w:color="auto"/>
                <w:right w:val="none" w:sz="0" w:space="0" w:color="auto"/>
              </w:divBdr>
              <w:divsChild>
                <w:div w:id="4264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30552">
      <w:bodyDiv w:val="1"/>
      <w:marLeft w:val="0"/>
      <w:marRight w:val="0"/>
      <w:marTop w:val="0"/>
      <w:marBottom w:val="0"/>
      <w:divBdr>
        <w:top w:val="none" w:sz="0" w:space="0" w:color="auto"/>
        <w:left w:val="none" w:sz="0" w:space="0" w:color="auto"/>
        <w:bottom w:val="none" w:sz="0" w:space="0" w:color="auto"/>
        <w:right w:val="none" w:sz="0" w:space="0" w:color="auto"/>
      </w:divBdr>
    </w:div>
    <w:div w:id="1288779022">
      <w:bodyDiv w:val="1"/>
      <w:marLeft w:val="0"/>
      <w:marRight w:val="0"/>
      <w:marTop w:val="0"/>
      <w:marBottom w:val="0"/>
      <w:divBdr>
        <w:top w:val="none" w:sz="0" w:space="0" w:color="auto"/>
        <w:left w:val="none" w:sz="0" w:space="0" w:color="auto"/>
        <w:bottom w:val="none" w:sz="0" w:space="0" w:color="auto"/>
        <w:right w:val="none" w:sz="0" w:space="0" w:color="auto"/>
      </w:divBdr>
      <w:divsChild>
        <w:div w:id="176433160">
          <w:marLeft w:val="-7500"/>
          <w:marRight w:val="0"/>
          <w:marTop w:val="0"/>
          <w:marBottom w:val="0"/>
          <w:divBdr>
            <w:top w:val="single" w:sz="6" w:space="0" w:color="C0C0C0"/>
            <w:left w:val="single" w:sz="6" w:space="0" w:color="C0C0C0"/>
            <w:bottom w:val="single" w:sz="6" w:space="0" w:color="C0C0C0"/>
            <w:right w:val="single" w:sz="6" w:space="0" w:color="C0C0C0"/>
          </w:divBdr>
          <w:divsChild>
            <w:div w:id="396514564">
              <w:marLeft w:val="0"/>
              <w:marRight w:val="0"/>
              <w:marTop w:val="0"/>
              <w:marBottom w:val="465"/>
              <w:divBdr>
                <w:top w:val="none" w:sz="0" w:space="0" w:color="auto"/>
                <w:left w:val="none" w:sz="0" w:space="0" w:color="auto"/>
                <w:bottom w:val="none" w:sz="0" w:space="0" w:color="auto"/>
                <w:right w:val="none" w:sz="0" w:space="0" w:color="auto"/>
              </w:divBdr>
              <w:divsChild>
                <w:div w:id="729112773">
                  <w:marLeft w:val="0"/>
                  <w:marRight w:val="0"/>
                  <w:marTop w:val="0"/>
                  <w:marBottom w:val="0"/>
                  <w:divBdr>
                    <w:top w:val="none" w:sz="0" w:space="0" w:color="auto"/>
                    <w:left w:val="none" w:sz="0" w:space="0" w:color="auto"/>
                    <w:bottom w:val="none" w:sz="0" w:space="0" w:color="auto"/>
                    <w:right w:val="none" w:sz="0" w:space="0" w:color="auto"/>
                  </w:divBdr>
                  <w:divsChild>
                    <w:div w:id="10863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50326">
      <w:bodyDiv w:val="1"/>
      <w:marLeft w:val="0"/>
      <w:marRight w:val="0"/>
      <w:marTop w:val="0"/>
      <w:marBottom w:val="0"/>
      <w:divBdr>
        <w:top w:val="none" w:sz="0" w:space="0" w:color="auto"/>
        <w:left w:val="none" w:sz="0" w:space="0" w:color="auto"/>
        <w:bottom w:val="none" w:sz="0" w:space="0" w:color="auto"/>
        <w:right w:val="none" w:sz="0" w:space="0" w:color="auto"/>
      </w:divBdr>
    </w:div>
    <w:div w:id="1314259761">
      <w:bodyDiv w:val="1"/>
      <w:marLeft w:val="0"/>
      <w:marRight w:val="0"/>
      <w:marTop w:val="0"/>
      <w:marBottom w:val="0"/>
      <w:divBdr>
        <w:top w:val="none" w:sz="0" w:space="0" w:color="auto"/>
        <w:left w:val="none" w:sz="0" w:space="0" w:color="auto"/>
        <w:bottom w:val="none" w:sz="0" w:space="0" w:color="auto"/>
        <w:right w:val="none" w:sz="0" w:space="0" w:color="auto"/>
      </w:divBdr>
    </w:div>
    <w:div w:id="1323004261">
      <w:bodyDiv w:val="1"/>
      <w:marLeft w:val="0"/>
      <w:marRight w:val="0"/>
      <w:marTop w:val="0"/>
      <w:marBottom w:val="0"/>
      <w:divBdr>
        <w:top w:val="none" w:sz="0" w:space="0" w:color="auto"/>
        <w:left w:val="none" w:sz="0" w:space="0" w:color="auto"/>
        <w:bottom w:val="none" w:sz="0" w:space="0" w:color="auto"/>
        <w:right w:val="none" w:sz="0" w:space="0" w:color="auto"/>
      </w:divBdr>
    </w:div>
    <w:div w:id="1326006575">
      <w:bodyDiv w:val="1"/>
      <w:marLeft w:val="0"/>
      <w:marRight w:val="0"/>
      <w:marTop w:val="150"/>
      <w:marBottom w:val="150"/>
      <w:divBdr>
        <w:top w:val="none" w:sz="0" w:space="0" w:color="auto"/>
        <w:left w:val="none" w:sz="0" w:space="0" w:color="auto"/>
        <w:bottom w:val="none" w:sz="0" w:space="0" w:color="auto"/>
        <w:right w:val="none" w:sz="0" w:space="0" w:color="auto"/>
      </w:divBdr>
      <w:divsChild>
        <w:div w:id="709039167">
          <w:marLeft w:val="0"/>
          <w:marRight w:val="0"/>
          <w:marTop w:val="0"/>
          <w:marBottom w:val="0"/>
          <w:divBdr>
            <w:top w:val="none" w:sz="0" w:space="0" w:color="auto"/>
            <w:left w:val="none" w:sz="0" w:space="0" w:color="auto"/>
            <w:bottom w:val="none" w:sz="0" w:space="0" w:color="auto"/>
            <w:right w:val="none" w:sz="0" w:space="0" w:color="auto"/>
          </w:divBdr>
          <w:divsChild>
            <w:div w:id="806242897">
              <w:marLeft w:val="3720"/>
              <w:marRight w:val="0"/>
              <w:marTop w:val="0"/>
              <w:marBottom w:val="0"/>
              <w:divBdr>
                <w:top w:val="none" w:sz="0" w:space="0" w:color="auto"/>
                <w:left w:val="none" w:sz="0" w:space="0" w:color="auto"/>
                <w:bottom w:val="none" w:sz="0" w:space="0" w:color="auto"/>
                <w:right w:val="none" w:sz="0" w:space="0" w:color="auto"/>
              </w:divBdr>
              <w:divsChild>
                <w:div w:id="2101175528">
                  <w:marLeft w:val="0"/>
                  <w:marRight w:val="0"/>
                  <w:marTop w:val="0"/>
                  <w:marBottom w:val="0"/>
                  <w:divBdr>
                    <w:top w:val="none" w:sz="0" w:space="0" w:color="auto"/>
                    <w:left w:val="none" w:sz="0" w:space="0" w:color="auto"/>
                    <w:bottom w:val="none" w:sz="0" w:space="0" w:color="auto"/>
                    <w:right w:val="none" w:sz="0" w:space="0" w:color="auto"/>
                  </w:divBdr>
                  <w:divsChild>
                    <w:div w:id="573858903">
                      <w:marLeft w:val="0"/>
                      <w:marRight w:val="0"/>
                      <w:marTop w:val="0"/>
                      <w:marBottom w:val="180"/>
                      <w:divBdr>
                        <w:top w:val="none" w:sz="0" w:space="0" w:color="auto"/>
                        <w:left w:val="none" w:sz="0" w:space="0" w:color="auto"/>
                        <w:bottom w:val="none" w:sz="0" w:space="0" w:color="auto"/>
                        <w:right w:val="none" w:sz="0" w:space="0" w:color="auto"/>
                      </w:divBdr>
                      <w:divsChild>
                        <w:div w:id="7577979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35956570">
      <w:bodyDiv w:val="1"/>
      <w:marLeft w:val="0"/>
      <w:marRight w:val="0"/>
      <w:marTop w:val="0"/>
      <w:marBottom w:val="0"/>
      <w:divBdr>
        <w:top w:val="none" w:sz="0" w:space="0" w:color="auto"/>
        <w:left w:val="none" w:sz="0" w:space="0" w:color="auto"/>
        <w:bottom w:val="none" w:sz="0" w:space="0" w:color="auto"/>
        <w:right w:val="none" w:sz="0" w:space="0" w:color="auto"/>
      </w:divBdr>
    </w:div>
    <w:div w:id="1430194925">
      <w:bodyDiv w:val="1"/>
      <w:marLeft w:val="0"/>
      <w:marRight w:val="0"/>
      <w:marTop w:val="0"/>
      <w:marBottom w:val="0"/>
      <w:divBdr>
        <w:top w:val="none" w:sz="0" w:space="0" w:color="auto"/>
        <w:left w:val="none" w:sz="0" w:space="0" w:color="auto"/>
        <w:bottom w:val="none" w:sz="0" w:space="0" w:color="auto"/>
        <w:right w:val="none" w:sz="0" w:space="0" w:color="auto"/>
      </w:divBdr>
    </w:div>
    <w:div w:id="1458839831">
      <w:bodyDiv w:val="1"/>
      <w:marLeft w:val="0"/>
      <w:marRight w:val="0"/>
      <w:marTop w:val="0"/>
      <w:marBottom w:val="0"/>
      <w:divBdr>
        <w:top w:val="none" w:sz="0" w:space="0" w:color="auto"/>
        <w:left w:val="none" w:sz="0" w:space="0" w:color="auto"/>
        <w:bottom w:val="none" w:sz="0" w:space="0" w:color="auto"/>
        <w:right w:val="none" w:sz="0" w:space="0" w:color="auto"/>
      </w:divBdr>
    </w:div>
    <w:div w:id="1485005633">
      <w:bodyDiv w:val="1"/>
      <w:marLeft w:val="0"/>
      <w:marRight w:val="0"/>
      <w:marTop w:val="0"/>
      <w:marBottom w:val="0"/>
      <w:divBdr>
        <w:top w:val="none" w:sz="0" w:space="0" w:color="auto"/>
        <w:left w:val="none" w:sz="0" w:space="0" w:color="auto"/>
        <w:bottom w:val="none" w:sz="0" w:space="0" w:color="auto"/>
        <w:right w:val="none" w:sz="0" w:space="0" w:color="auto"/>
      </w:divBdr>
    </w:div>
    <w:div w:id="1512642366">
      <w:bodyDiv w:val="1"/>
      <w:marLeft w:val="0"/>
      <w:marRight w:val="0"/>
      <w:marTop w:val="0"/>
      <w:marBottom w:val="0"/>
      <w:divBdr>
        <w:top w:val="none" w:sz="0" w:space="0" w:color="auto"/>
        <w:left w:val="none" w:sz="0" w:space="0" w:color="auto"/>
        <w:bottom w:val="none" w:sz="0" w:space="0" w:color="auto"/>
        <w:right w:val="none" w:sz="0" w:space="0" w:color="auto"/>
      </w:divBdr>
    </w:div>
    <w:div w:id="1519470907">
      <w:bodyDiv w:val="1"/>
      <w:marLeft w:val="0"/>
      <w:marRight w:val="0"/>
      <w:marTop w:val="0"/>
      <w:marBottom w:val="0"/>
      <w:divBdr>
        <w:top w:val="none" w:sz="0" w:space="0" w:color="auto"/>
        <w:left w:val="none" w:sz="0" w:space="0" w:color="auto"/>
        <w:bottom w:val="none" w:sz="0" w:space="0" w:color="auto"/>
        <w:right w:val="none" w:sz="0" w:space="0" w:color="auto"/>
      </w:divBdr>
    </w:div>
    <w:div w:id="1539053570">
      <w:bodyDiv w:val="1"/>
      <w:marLeft w:val="0"/>
      <w:marRight w:val="0"/>
      <w:marTop w:val="0"/>
      <w:marBottom w:val="0"/>
      <w:divBdr>
        <w:top w:val="none" w:sz="0" w:space="0" w:color="auto"/>
        <w:left w:val="none" w:sz="0" w:space="0" w:color="auto"/>
        <w:bottom w:val="none" w:sz="0" w:space="0" w:color="auto"/>
        <w:right w:val="none" w:sz="0" w:space="0" w:color="auto"/>
      </w:divBdr>
      <w:divsChild>
        <w:div w:id="50659884">
          <w:marLeft w:val="0"/>
          <w:marRight w:val="0"/>
          <w:marTop w:val="0"/>
          <w:marBottom w:val="0"/>
          <w:divBdr>
            <w:top w:val="none" w:sz="0" w:space="0" w:color="auto"/>
            <w:left w:val="none" w:sz="0" w:space="0" w:color="auto"/>
            <w:bottom w:val="none" w:sz="0" w:space="0" w:color="auto"/>
            <w:right w:val="none" w:sz="0" w:space="0" w:color="auto"/>
          </w:divBdr>
          <w:divsChild>
            <w:div w:id="2007631399">
              <w:marLeft w:val="0"/>
              <w:marRight w:val="0"/>
              <w:marTop w:val="0"/>
              <w:marBottom w:val="0"/>
              <w:divBdr>
                <w:top w:val="none" w:sz="0" w:space="0" w:color="auto"/>
                <w:left w:val="none" w:sz="0" w:space="0" w:color="auto"/>
                <w:bottom w:val="none" w:sz="0" w:space="0" w:color="auto"/>
                <w:right w:val="none" w:sz="0" w:space="0" w:color="auto"/>
              </w:divBdr>
              <w:divsChild>
                <w:div w:id="1755739167">
                  <w:marLeft w:val="0"/>
                  <w:marRight w:val="0"/>
                  <w:marTop w:val="0"/>
                  <w:marBottom w:val="0"/>
                  <w:divBdr>
                    <w:top w:val="none" w:sz="0" w:space="0" w:color="auto"/>
                    <w:left w:val="none" w:sz="0" w:space="0" w:color="auto"/>
                    <w:bottom w:val="none" w:sz="0" w:space="0" w:color="auto"/>
                    <w:right w:val="none" w:sz="0" w:space="0" w:color="auto"/>
                  </w:divBdr>
                  <w:divsChild>
                    <w:div w:id="357657320">
                      <w:marLeft w:val="0"/>
                      <w:marRight w:val="0"/>
                      <w:marTop w:val="0"/>
                      <w:marBottom w:val="0"/>
                      <w:divBdr>
                        <w:top w:val="none" w:sz="0" w:space="0" w:color="auto"/>
                        <w:left w:val="none" w:sz="0" w:space="0" w:color="auto"/>
                        <w:bottom w:val="none" w:sz="0" w:space="0" w:color="auto"/>
                        <w:right w:val="none" w:sz="0" w:space="0" w:color="auto"/>
                      </w:divBdr>
                      <w:divsChild>
                        <w:div w:id="135384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667488">
      <w:bodyDiv w:val="1"/>
      <w:marLeft w:val="0"/>
      <w:marRight w:val="0"/>
      <w:marTop w:val="0"/>
      <w:marBottom w:val="0"/>
      <w:divBdr>
        <w:top w:val="none" w:sz="0" w:space="0" w:color="auto"/>
        <w:left w:val="none" w:sz="0" w:space="0" w:color="auto"/>
        <w:bottom w:val="none" w:sz="0" w:space="0" w:color="auto"/>
        <w:right w:val="none" w:sz="0" w:space="0" w:color="auto"/>
      </w:divBdr>
    </w:div>
    <w:div w:id="1562985251">
      <w:bodyDiv w:val="1"/>
      <w:marLeft w:val="0"/>
      <w:marRight w:val="0"/>
      <w:marTop w:val="0"/>
      <w:marBottom w:val="0"/>
      <w:divBdr>
        <w:top w:val="none" w:sz="0" w:space="0" w:color="auto"/>
        <w:left w:val="none" w:sz="0" w:space="0" w:color="auto"/>
        <w:bottom w:val="none" w:sz="0" w:space="0" w:color="auto"/>
        <w:right w:val="none" w:sz="0" w:space="0" w:color="auto"/>
      </w:divBdr>
    </w:div>
    <w:div w:id="1583098794">
      <w:bodyDiv w:val="1"/>
      <w:marLeft w:val="0"/>
      <w:marRight w:val="0"/>
      <w:marTop w:val="0"/>
      <w:marBottom w:val="0"/>
      <w:divBdr>
        <w:top w:val="none" w:sz="0" w:space="0" w:color="auto"/>
        <w:left w:val="none" w:sz="0" w:space="0" w:color="auto"/>
        <w:bottom w:val="none" w:sz="0" w:space="0" w:color="auto"/>
        <w:right w:val="none" w:sz="0" w:space="0" w:color="auto"/>
      </w:divBdr>
    </w:div>
    <w:div w:id="1666083190">
      <w:bodyDiv w:val="1"/>
      <w:marLeft w:val="0"/>
      <w:marRight w:val="0"/>
      <w:marTop w:val="0"/>
      <w:marBottom w:val="0"/>
      <w:divBdr>
        <w:top w:val="none" w:sz="0" w:space="0" w:color="auto"/>
        <w:left w:val="none" w:sz="0" w:space="0" w:color="auto"/>
        <w:bottom w:val="none" w:sz="0" w:space="0" w:color="auto"/>
        <w:right w:val="none" w:sz="0" w:space="0" w:color="auto"/>
      </w:divBdr>
    </w:div>
    <w:div w:id="1703436510">
      <w:bodyDiv w:val="1"/>
      <w:marLeft w:val="0"/>
      <w:marRight w:val="0"/>
      <w:marTop w:val="0"/>
      <w:marBottom w:val="0"/>
      <w:divBdr>
        <w:top w:val="none" w:sz="0" w:space="0" w:color="auto"/>
        <w:left w:val="none" w:sz="0" w:space="0" w:color="auto"/>
        <w:bottom w:val="none" w:sz="0" w:space="0" w:color="auto"/>
        <w:right w:val="none" w:sz="0" w:space="0" w:color="auto"/>
      </w:divBdr>
    </w:div>
    <w:div w:id="1706909523">
      <w:bodyDiv w:val="1"/>
      <w:marLeft w:val="0"/>
      <w:marRight w:val="0"/>
      <w:marTop w:val="0"/>
      <w:marBottom w:val="0"/>
      <w:divBdr>
        <w:top w:val="none" w:sz="0" w:space="0" w:color="auto"/>
        <w:left w:val="none" w:sz="0" w:space="0" w:color="auto"/>
        <w:bottom w:val="none" w:sz="0" w:space="0" w:color="auto"/>
        <w:right w:val="none" w:sz="0" w:space="0" w:color="auto"/>
      </w:divBdr>
    </w:div>
    <w:div w:id="1767919304">
      <w:bodyDiv w:val="1"/>
      <w:marLeft w:val="0"/>
      <w:marRight w:val="0"/>
      <w:marTop w:val="0"/>
      <w:marBottom w:val="0"/>
      <w:divBdr>
        <w:top w:val="none" w:sz="0" w:space="0" w:color="auto"/>
        <w:left w:val="none" w:sz="0" w:space="0" w:color="auto"/>
        <w:bottom w:val="none" w:sz="0" w:space="0" w:color="auto"/>
        <w:right w:val="none" w:sz="0" w:space="0" w:color="auto"/>
      </w:divBdr>
    </w:div>
    <w:div w:id="178109752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14149246">
          <w:marLeft w:val="0"/>
          <w:marRight w:val="0"/>
          <w:marTop w:val="0"/>
          <w:marBottom w:val="0"/>
          <w:divBdr>
            <w:top w:val="none" w:sz="0" w:space="0" w:color="auto"/>
            <w:left w:val="none" w:sz="0" w:space="0" w:color="auto"/>
            <w:bottom w:val="none" w:sz="0" w:space="0" w:color="auto"/>
            <w:right w:val="none" w:sz="0" w:space="0" w:color="auto"/>
          </w:divBdr>
          <w:divsChild>
            <w:div w:id="1422292528">
              <w:marLeft w:val="180"/>
              <w:marRight w:val="0"/>
              <w:marTop w:val="0"/>
              <w:marBottom w:val="0"/>
              <w:divBdr>
                <w:top w:val="none" w:sz="0" w:space="0" w:color="auto"/>
                <w:left w:val="none" w:sz="0" w:space="0" w:color="auto"/>
                <w:bottom w:val="none" w:sz="0" w:space="0" w:color="auto"/>
                <w:right w:val="none" w:sz="0" w:space="0" w:color="auto"/>
              </w:divBdr>
              <w:divsChild>
                <w:div w:id="1219171095">
                  <w:marLeft w:val="0"/>
                  <w:marRight w:val="0"/>
                  <w:marTop w:val="0"/>
                  <w:marBottom w:val="0"/>
                  <w:divBdr>
                    <w:top w:val="none" w:sz="0" w:space="0" w:color="auto"/>
                    <w:left w:val="none" w:sz="0" w:space="0" w:color="auto"/>
                    <w:bottom w:val="none" w:sz="0" w:space="0" w:color="auto"/>
                    <w:right w:val="none" w:sz="0" w:space="0" w:color="auto"/>
                  </w:divBdr>
                  <w:divsChild>
                    <w:div w:id="1264802280">
                      <w:marLeft w:val="0"/>
                      <w:marRight w:val="0"/>
                      <w:marTop w:val="0"/>
                      <w:marBottom w:val="150"/>
                      <w:divBdr>
                        <w:top w:val="none" w:sz="0" w:space="0" w:color="auto"/>
                        <w:left w:val="none" w:sz="0" w:space="0" w:color="auto"/>
                        <w:bottom w:val="none" w:sz="0" w:space="0" w:color="auto"/>
                        <w:right w:val="none" w:sz="0" w:space="0" w:color="auto"/>
                      </w:divBdr>
                      <w:divsChild>
                        <w:div w:id="1666932021">
                          <w:marLeft w:val="0"/>
                          <w:marRight w:val="0"/>
                          <w:marTop w:val="0"/>
                          <w:marBottom w:val="0"/>
                          <w:divBdr>
                            <w:top w:val="none" w:sz="0" w:space="0" w:color="auto"/>
                            <w:left w:val="none" w:sz="0" w:space="0" w:color="auto"/>
                            <w:bottom w:val="none" w:sz="0" w:space="0" w:color="auto"/>
                            <w:right w:val="none" w:sz="0" w:space="0" w:color="auto"/>
                          </w:divBdr>
                          <w:divsChild>
                            <w:div w:id="1523394719">
                              <w:marLeft w:val="0"/>
                              <w:marRight w:val="0"/>
                              <w:marTop w:val="0"/>
                              <w:marBottom w:val="0"/>
                              <w:divBdr>
                                <w:top w:val="none" w:sz="0" w:space="0" w:color="auto"/>
                                <w:left w:val="none" w:sz="0" w:space="0" w:color="auto"/>
                                <w:bottom w:val="none" w:sz="0" w:space="0" w:color="auto"/>
                                <w:right w:val="none" w:sz="0" w:space="0" w:color="auto"/>
                              </w:divBdr>
                              <w:divsChild>
                                <w:div w:id="10120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031996">
      <w:bodyDiv w:val="1"/>
      <w:marLeft w:val="0"/>
      <w:marRight w:val="0"/>
      <w:marTop w:val="0"/>
      <w:marBottom w:val="0"/>
      <w:divBdr>
        <w:top w:val="none" w:sz="0" w:space="0" w:color="auto"/>
        <w:left w:val="none" w:sz="0" w:space="0" w:color="auto"/>
        <w:bottom w:val="none" w:sz="0" w:space="0" w:color="auto"/>
        <w:right w:val="none" w:sz="0" w:space="0" w:color="auto"/>
      </w:divBdr>
    </w:div>
    <w:div w:id="1789860632">
      <w:bodyDiv w:val="1"/>
      <w:marLeft w:val="0"/>
      <w:marRight w:val="0"/>
      <w:marTop w:val="0"/>
      <w:marBottom w:val="0"/>
      <w:divBdr>
        <w:top w:val="none" w:sz="0" w:space="0" w:color="auto"/>
        <w:left w:val="none" w:sz="0" w:space="0" w:color="auto"/>
        <w:bottom w:val="none" w:sz="0" w:space="0" w:color="auto"/>
        <w:right w:val="none" w:sz="0" w:space="0" w:color="auto"/>
      </w:divBdr>
    </w:div>
    <w:div w:id="1801873471">
      <w:bodyDiv w:val="1"/>
      <w:marLeft w:val="0"/>
      <w:marRight w:val="0"/>
      <w:marTop w:val="0"/>
      <w:marBottom w:val="0"/>
      <w:divBdr>
        <w:top w:val="none" w:sz="0" w:space="0" w:color="auto"/>
        <w:left w:val="none" w:sz="0" w:space="0" w:color="auto"/>
        <w:bottom w:val="none" w:sz="0" w:space="0" w:color="auto"/>
        <w:right w:val="none" w:sz="0" w:space="0" w:color="auto"/>
      </w:divBdr>
    </w:div>
    <w:div w:id="1831486346">
      <w:bodyDiv w:val="1"/>
      <w:marLeft w:val="0"/>
      <w:marRight w:val="0"/>
      <w:marTop w:val="0"/>
      <w:marBottom w:val="0"/>
      <w:divBdr>
        <w:top w:val="none" w:sz="0" w:space="0" w:color="auto"/>
        <w:left w:val="none" w:sz="0" w:space="0" w:color="auto"/>
        <w:bottom w:val="none" w:sz="0" w:space="0" w:color="auto"/>
        <w:right w:val="none" w:sz="0" w:space="0" w:color="auto"/>
      </w:divBdr>
    </w:div>
    <w:div w:id="1867324496">
      <w:bodyDiv w:val="1"/>
      <w:marLeft w:val="0"/>
      <w:marRight w:val="0"/>
      <w:marTop w:val="0"/>
      <w:marBottom w:val="0"/>
      <w:divBdr>
        <w:top w:val="none" w:sz="0" w:space="0" w:color="auto"/>
        <w:left w:val="none" w:sz="0" w:space="0" w:color="auto"/>
        <w:bottom w:val="none" w:sz="0" w:space="0" w:color="auto"/>
        <w:right w:val="none" w:sz="0" w:space="0" w:color="auto"/>
      </w:divBdr>
    </w:div>
    <w:div w:id="1895500918">
      <w:bodyDiv w:val="1"/>
      <w:marLeft w:val="0"/>
      <w:marRight w:val="0"/>
      <w:marTop w:val="0"/>
      <w:marBottom w:val="0"/>
      <w:divBdr>
        <w:top w:val="none" w:sz="0" w:space="0" w:color="auto"/>
        <w:left w:val="none" w:sz="0" w:space="0" w:color="auto"/>
        <w:bottom w:val="none" w:sz="0" w:space="0" w:color="auto"/>
        <w:right w:val="none" w:sz="0" w:space="0" w:color="auto"/>
      </w:divBdr>
    </w:div>
    <w:div w:id="1905749641">
      <w:bodyDiv w:val="1"/>
      <w:marLeft w:val="0"/>
      <w:marRight w:val="0"/>
      <w:marTop w:val="0"/>
      <w:marBottom w:val="0"/>
      <w:divBdr>
        <w:top w:val="none" w:sz="0" w:space="0" w:color="auto"/>
        <w:left w:val="none" w:sz="0" w:space="0" w:color="auto"/>
        <w:bottom w:val="none" w:sz="0" w:space="0" w:color="auto"/>
        <w:right w:val="none" w:sz="0" w:space="0" w:color="auto"/>
      </w:divBdr>
    </w:div>
    <w:div w:id="1912960040">
      <w:bodyDiv w:val="1"/>
      <w:marLeft w:val="0"/>
      <w:marRight w:val="0"/>
      <w:marTop w:val="0"/>
      <w:marBottom w:val="0"/>
      <w:divBdr>
        <w:top w:val="none" w:sz="0" w:space="0" w:color="auto"/>
        <w:left w:val="none" w:sz="0" w:space="0" w:color="auto"/>
        <w:bottom w:val="none" w:sz="0" w:space="0" w:color="auto"/>
        <w:right w:val="none" w:sz="0" w:space="0" w:color="auto"/>
      </w:divBdr>
    </w:div>
    <w:div w:id="1976717351">
      <w:bodyDiv w:val="1"/>
      <w:marLeft w:val="0"/>
      <w:marRight w:val="0"/>
      <w:marTop w:val="0"/>
      <w:marBottom w:val="0"/>
      <w:divBdr>
        <w:top w:val="none" w:sz="0" w:space="0" w:color="auto"/>
        <w:left w:val="none" w:sz="0" w:space="0" w:color="auto"/>
        <w:bottom w:val="none" w:sz="0" w:space="0" w:color="auto"/>
        <w:right w:val="none" w:sz="0" w:space="0" w:color="auto"/>
      </w:divBdr>
    </w:div>
    <w:div w:id="1986885730">
      <w:bodyDiv w:val="1"/>
      <w:marLeft w:val="0"/>
      <w:marRight w:val="0"/>
      <w:marTop w:val="0"/>
      <w:marBottom w:val="0"/>
      <w:divBdr>
        <w:top w:val="none" w:sz="0" w:space="0" w:color="auto"/>
        <w:left w:val="none" w:sz="0" w:space="0" w:color="auto"/>
        <w:bottom w:val="none" w:sz="0" w:space="0" w:color="auto"/>
        <w:right w:val="none" w:sz="0" w:space="0" w:color="auto"/>
      </w:divBdr>
    </w:div>
    <w:div w:id="1996059499">
      <w:bodyDiv w:val="1"/>
      <w:marLeft w:val="0"/>
      <w:marRight w:val="0"/>
      <w:marTop w:val="0"/>
      <w:marBottom w:val="0"/>
      <w:divBdr>
        <w:top w:val="none" w:sz="0" w:space="0" w:color="auto"/>
        <w:left w:val="none" w:sz="0" w:space="0" w:color="auto"/>
        <w:bottom w:val="none" w:sz="0" w:space="0" w:color="auto"/>
        <w:right w:val="none" w:sz="0" w:space="0" w:color="auto"/>
      </w:divBdr>
    </w:div>
    <w:div w:id="1997954309">
      <w:bodyDiv w:val="1"/>
      <w:marLeft w:val="0"/>
      <w:marRight w:val="0"/>
      <w:marTop w:val="0"/>
      <w:marBottom w:val="0"/>
      <w:divBdr>
        <w:top w:val="none" w:sz="0" w:space="0" w:color="auto"/>
        <w:left w:val="none" w:sz="0" w:space="0" w:color="auto"/>
        <w:bottom w:val="none" w:sz="0" w:space="0" w:color="auto"/>
        <w:right w:val="none" w:sz="0" w:space="0" w:color="auto"/>
      </w:divBdr>
    </w:div>
    <w:div w:id="2017489540">
      <w:bodyDiv w:val="1"/>
      <w:marLeft w:val="0"/>
      <w:marRight w:val="0"/>
      <w:marTop w:val="0"/>
      <w:marBottom w:val="0"/>
      <w:divBdr>
        <w:top w:val="none" w:sz="0" w:space="0" w:color="auto"/>
        <w:left w:val="none" w:sz="0" w:space="0" w:color="auto"/>
        <w:bottom w:val="none" w:sz="0" w:space="0" w:color="auto"/>
        <w:right w:val="none" w:sz="0" w:space="0" w:color="auto"/>
      </w:divBdr>
    </w:div>
    <w:div w:id="2056269562">
      <w:bodyDiv w:val="1"/>
      <w:marLeft w:val="0"/>
      <w:marRight w:val="0"/>
      <w:marTop w:val="0"/>
      <w:marBottom w:val="0"/>
      <w:divBdr>
        <w:top w:val="none" w:sz="0" w:space="0" w:color="auto"/>
        <w:left w:val="none" w:sz="0" w:space="0" w:color="auto"/>
        <w:bottom w:val="none" w:sz="0" w:space="0" w:color="auto"/>
        <w:right w:val="none" w:sz="0" w:space="0" w:color="auto"/>
      </w:divBdr>
    </w:div>
    <w:div w:id="2084569849">
      <w:bodyDiv w:val="1"/>
      <w:marLeft w:val="0"/>
      <w:marRight w:val="0"/>
      <w:marTop w:val="0"/>
      <w:marBottom w:val="0"/>
      <w:divBdr>
        <w:top w:val="none" w:sz="0" w:space="0" w:color="auto"/>
        <w:left w:val="none" w:sz="0" w:space="0" w:color="auto"/>
        <w:bottom w:val="none" w:sz="0" w:space="0" w:color="auto"/>
        <w:right w:val="none" w:sz="0" w:space="0" w:color="auto"/>
      </w:divBdr>
    </w:div>
    <w:div w:id="2130127969">
      <w:bodyDiv w:val="1"/>
      <w:marLeft w:val="0"/>
      <w:marRight w:val="0"/>
      <w:marTop w:val="0"/>
      <w:marBottom w:val="0"/>
      <w:divBdr>
        <w:top w:val="none" w:sz="0" w:space="0" w:color="auto"/>
        <w:left w:val="none" w:sz="0" w:space="0" w:color="auto"/>
        <w:bottom w:val="none" w:sz="0" w:space="0" w:color="auto"/>
        <w:right w:val="none" w:sz="0" w:space="0" w:color="auto"/>
      </w:divBdr>
    </w:div>
    <w:div w:id="213818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s://www.wko.at/site/kampagnen/crowdinvesting/crowd-plattformen-.html" TargetMode="External"/><Relationship Id="rId26" Type="http://schemas.openxmlformats.org/officeDocument/2006/relationships/hyperlink" Target="https://news.wko.at/news/oesterreich/wirtschaftskraft-kmu2018.pdf"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image" Target="media/image7.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ris.bka.gv.at/GeltendeFassung.wxe?Abfrage=Bundesnormen&amp;Gesetzesnummer=20009263"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5.png"/><Relationship Id="rId28" Type="http://schemas.openxmlformats.org/officeDocument/2006/relationships/hyperlink" Target="https://www.gruenderservice.at/site/gruenderservice/aktuelles/GS_Fact-Sheet_2017_einzelseiten_lowres.pdf"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http://www.20min.ch/finance/news/story/Start-ups--Erfolg-ist-eher-die-Ausnahme-25519331"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vki\AltFG2018\Analyse%20bearbeitung.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AT"/>
              <a:t>Projektverteilung</a:t>
            </a:r>
          </a:p>
        </c:rich>
      </c:tx>
      <c:layout/>
      <c:overlay val="0"/>
    </c:title>
    <c:autoTitleDeleted val="0"/>
    <c:plotArea>
      <c:layout>
        <c:manualLayout>
          <c:layoutTarget val="inner"/>
          <c:xMode val="edge"/>
          <c:yMode val="edge"/>
          <c:x val="8.0799101919488983E-2"/>
          <c:y val="0.13264946048410614"/>
          <c:w val="0.78984093855737914"/>
          <c:h val="0.8673505395158938"/>
        </c:manualLayout>
      </c:layout>
      <c:pieChart>
        <c:varyColors val="1"/>
        <c:ser>
          <c:idx val="0"/>
          <c:order val="0"/>
          <c:dLbls>
            <c:showLegendKey val="0"/>
            <c:showVal val="0"/>
            <c:showCatName val="1"/>
            <c:showSerName val="0"/>
            <c:showPercent val="1"/>
            <c:showBubbleSize val="0"/>
            <c:showLeaderLines val="1"/>
          </c:dLbls>
          <c:cat>
            <c:strRef>
              <c:f>Bereiche!$A$2:$A$4</c:f>
              <c:strCache>
                <c:ptCount val="3"/>
                <c:pt idx="0">
                  <c:v>Immobilien</c:v>
                </c:pt>
                <c:pt idx="1">
                  <c:v>Startup</c:v>
                </c:pt>
                <c:pt idx="2">
                  <c:v>KMU</c:v>
                </c:pt>
              </c:strCache>
            </c:strRef>
          </c:cat>
          <c:val>
            <c:numRef>
              <c:f>Bereiche!$B$2:$B$4</c:f>
              <c:numCache>
                <c:formatCode>General</c:formatCode>
                <c:ptCount val="3"/>
                <c:pt idx="0">
                  <c:v>51</c:v>
                </c:pt>
                <c:pt idx="1">
                  <c:v>81</c:v>
                </c:pt>
                <c:pt idx="2">
                  <c:v>67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AT"/>
              <a:t>Anbieterherkunft</a:t>
            </a:r>
          </a:p>
        </c:rich>
      </c:tx>
      <c:layout/>
      <c:overlay val="0"/>
    </c:title>
    <c:autoTitleDeleted val="0"/>
    <c:plotArea>
      <c:layout/>
      <c:pieChart>
        <c:varyColors val="1"/>
        <c:ser>
          <c:idx val="0"/>
          <c:order val="0"/>
          <c:dLbls>
            <c:showLegendKey val="0"/>
            <c:showVal val="0"/>
            <c:showCatName val="0"/>
            <c:showSerName val="0"/>
            <c:showPercent val="1"/>
            <c:showBubbleSize val="0"/>
            <c:showLeaderLines val="1"/>
          </c:dLbls>
          <c:cat>
            <c:strRef>
              <c:f>Nationalität!$U$4:$Z$4</c:f>
              <c:strCache>
                <c:ptCount val="6"/>
                <c:pt idx="0">
                  <c:v>Deutschland</c:v>
                </c:pt>
                <c:pt idx="1">
                  <c:v>Österreich</c:v>
                </c:pt>
                <c:pt idx="2">
                  <c:v>Slowakei</c:v>
                </c:pt>
                <c:pt idx="3">
                  <c:v>Slowenien</c:v>
                </c:pt>
                <c:pt idx="4">
                  <c:v>Tschechien</c:v>
                </c:pt>
                <c:pt idx="5">
                  <c:v>Uganda</c:v>
                </c:pt>
              </c:strCache>
            </c:strRef>
          </c:cat>
          <c:val>
            <c:numRef>
              <c:f>Nationalität!$U$5:$Z$5</c:f>
              <c:numCache>
                <c:formatCode>General</c:formatCode>
                <c:ptCount val="6"/>
                <c:pt idx="0">
                  <c:v>22</c:v>
                </c:pt>
                <c:pt idx="1">
                  <c:v>179</c:v>
                </c:pt>
                <c:pt idx="2">
                  <c:v>3</c:v>
                </c:pt>
                <c:pt idx="3">
                  <c:v>4</c:v>
                </c:pt>
                <c:pt idx="4">
                  <c:v>2</c:v>
                </c:pt>
                <c:pt idx="5">
                  <c:v>2</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988407699037624E-2"/>
          <c:y val="5.1400554097404488E-2"/>
          <c:w val="0.84792738407699031"/>
          <c:h val="0.68146106736657919"/>
        </c:manualLayout>
      </c:layout>
      <c:lineChart>
        <c:grouping val="standard"/>
        <c:varyColors val="0"/>
        <c:ser>
          <c:idx val="0"/>
          <c:order val="0"/>
          <c:marker>
            <c:symbol val="none"/>
          </c:marker>
          <c:cat>
            <c:strRef>
              <c:f>Nationalität!$T$27:$T$55</c:f>
              <c:strCache>
                <c:ptCount val="29"/>
                <c:pt idx="0">
                  <c:v>September</c:v>
                </c:pt>
                <c:pt idx="1">
                  <c:v>Oktober</c:v>
                </c:pt>
                <c:pt idx="2">
                  <c:v>November</c:v>
                </c:pt>
                <c:pt idx="3">
                  <c:v>Dezember</c:v>
                </c:pt>
                <c:pt idx="4">
                  <c:v>Jänner</c:v>
                </c:pt>
                <c:pt idx="5">
                  <c:v>Februar</c:v>
                </c:pt>
                <c:pt idx="6">
                  <c:v>März</c:v>
                </c:pt>
                <c:pt idx="7">
                  <c:v>April</c:v>
                </c:pt>
                <c:pt idx="8">
                  <c:v>Mai</c:v>
                </c:pt>
                <c:pt idx="9">
                  <c:v>Juni</c:v>
                </c:pt>
                <c:pt idx="10">
                  <c:v>Juli</c:v>
                </c:pt>
                <c:pt idx="11">
                  <c:v>August</c:v>
                </c:pt>
                <c:pt idx="12">
                  <c:v>September</c:v>
                </c:pt>
                <c:pt idx="13">
                  <c:v>Oktober</c:v>
                </c:pt>
                <c:pt idx="14">
                  <c:v>November</c:v>
                </c:pt>
                <c:pt idx="15">
                  <c:v>Dezember</c:v>
                </c:pt>
                <c:pt idx="16">
                  <c:v>Jänner</c:v>
                </c:pt>
                <c:pt idx="17">
                  <c:v>Februar</c:v>
                </c:pt>
                <c:pt idx="18">
                  <c:v>März</c:v>
                </c:pt>
                <c:pt idx="19">
                  <c:v>April</c:v>
                </c:pt>
                <c:pt idx="20">
                  <c:v>Mai</c:v>
                </c:pt>
                <c:pt idx="21">
                  <c:v>Juni</c:v>
                </c:pt>
                <c:pt idx="22">
                  <c:v>Juli</c:v>
                </c:pt>
                <c:pt idx="23">
                  <c:v>August</c:v>
                </c:pt>
                <c:pt idx="24">
                  <c:v>September</c:v>
                </c:pt>
                <c:pt idx="25">
                  <c:v>Oktober</c:v>
                </c:pt>
                <c:pt idx="26">
                  <c:v>November</c:v>
                </c:pt>
                <c:pt idx="27">
                  <c:v>Dezember</c:v>
                </c:pt>
                <c:pt idx="28">
                  <c:v>Jänner</c:v>
                </c:pt>
              </c:strCache>
            </c:strRef>
          </c:cat>
          <c:val>
            <c:numRef>
              <c:f>Nationalität!$V$27:$V$55</c:f>
              <c:numCache>
                <c:formatCode>General</c:formatCode>
                <c:ptCount val="29"/>
                <c:pt idx="0">
                  <c:v>6</c:v>
                </c:pt>
                <c:pt idx="1">
                  <c:v>4</c:v>
                </c:pt>
                <c:pt idx="2">
                  <c:v>6</c:v>
                </c:pt>
                <c:pt idx="3">
                  <c:v>10</c:v>
                </c:pt>
                <c:pt idx="4">
                  <c:v>1</c:v>
                </c:pt>
                <c:pt idx="5">
                  <c:v>2</c:v>
                </c:pt>
                <c:pt idx="6">
                  <c:v>7</c:v>
                </c:pt>
                <c:pt idx="7">
                  <c:v>4</c:v>
                </c:pt>
                <c:pt idx="8">
                  <c:v>11</c:v>
                </c:pt>
                <c:pt idx="9">
                  <c:v>13</c:v>
                </c:pt>
                <c:pt idx="10">
                  <c:v>1</c:v>
                </c:pt>
                <c:pt idx="11">
                  <c:v>8</c:v>
                </c:pt>
                <c:pt idx="12">
                  <c:v>6</c:v>
                </c:pt>
                <c:pt idx="13">
                  <c:v>2</c:v>
                </c:pt>
                <c:pt idx="14">
                  <c:v>12</c:v>
                </c:pt>
                <c:pt idx="15">
                  <c:v>9</c:v>
                </c:pt>
                <c:pt idx="16">
                  <c:v>6</c:v>
                </c:pt>
                <c:pt idx="17">
                  <c:v>22</c:v>
                </c:pt>
                <c:pt idx="18">
                  <c:v>7</c:v>
                </c:pt>
                <c:pt idx="19">
                  <c:v>4</c:v>
                </c:pt>
                <c:pt idx="20">
                  <c:v>4</c:v>
                </c:pt>
                <c:pt idx="21">
                  <c:v>7</c:v>
                </c:pt>
                <c:pt idx="22">
                  <c:v>8</c:v>
                </c:pt>
                <c:pt idx="23">
                  <c:v>3</c:v>
                </c:pt>
                <c:pt idx="24">
                  <c:v>4</c:v>
                </c:pt>
                <c:pt idx="25">
                  <c:v>3</c:v>
                </c:pt>
                <c:pt idx="26">
                  <c:v>28</c:v>
                </c:pt>
                <c:pt idx="27">
                  <c:v>6</c:v>
                </c:pt>
                <c:pt idx="28">
                  <c:v>8</c:v>
                </c:pt>
              </c:numCache>
            </c:numRef>
          </c:val>
          <c:smooth val="0"/>
        </c:ser>
        <c:dLbls>
          <c:showLegendKey val="0"/>
          <c:showVal val="0"/>
          <c:showCatName val="0"/>
          <c:showSerName val="0"/>
          <c:showPercent val="0"/>
          <c:showBubbleSize val="0"/>
        </c:dLbls>
        <c:marker val="1"/>
        <c:smooth val="0"/>
        <c:axId val="224682752"/>
        <c:axId val="224684288"/>
      </c:lineChart>
      <c:catAx>
        <c:axId val="224682752"/>
        <c:scaling>
          <c:orientation val="minMax"/>
        </c:scaling>
        <c:delete val="0"/>
        <c:axPos val="b"/>
        <c:majorTickMark val="out"/>
        <c:minorTickMark val="none"/>
        <c:tickLblPos val="nextTo"/>
        <c:crossAx val="224684288"/>
        <c:crosses val="autoZero"/>
        <c:auto val="1"/>
        <c:lblAlgn val="ctr"/>
        <c:lblOffset val="100"/>
        <c:noMultiLvlLbl val="0"/>
      </c:catAx>
      <c:valAx>
        <c:axId val="224684288"/>
        <c:scaling>
          <c:orientation val="minMax"/>
        </c:scaling>
        <c:delete val="0"/>
        <c:axPos val="l"/>
        <c:majorGridlines/>
        <c:numFmt formatCode="General" sourceLinked="1"/>
        <c:majorTickMark val="out"/>
        <c:minorTickMark val="none"/>
        <c:tickLblPos val="nextTo"/>
        <c:crossAx val="224682752"/>
        <c:crosses val="autoZero"/>
        <c:crossBetween val="between"/>
      </c:valAx>
    </c:plotArea>
    <c:legend>
      <c:legendPos val="r"/>
      <c:layout>
        <c:manualLayout>
          <c:xMode val="edge"/>
          <c:yMode val="edge"/>
          <c:x val="0.16158245844269459"/>
          <c:y val="0.16647455526392535"/>
          <c:w val="0.23841754155730532"/>
          <c:h val="8.3717191601049873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400"/>
            </a:pPr>
            <a:r>
              <a:rPr lang="de-AT" sz="1400"/>
              <a:t>Durchschnittliche Projektvolumina in Euro</a:t>
            </a:r>
          </a:p>
        </c:rich>
      </c:tx>
      <c:layout/>
      <c:overlay val="0"/>
    </c:title>
    <c:autoTitleDeleted val="0"/>
    <c:plotArea>
      <c:layout/>
      <c:barChart>
        <c:barDir val="col"/>
        <c:grouping val="clustered"/>
        <c:varyColors val="0"/>
        <c:ser>
          <c:idx val="0"/>
          <c:order val="0"/>
          <c:invertIfNegative val="0"/>
          <c:dPt>
            <c:idx val="1"/>
            <c:invertIfNegative val="0"/>
            <c:bubble3D val="0"/>
            <c:spPr>
              <a:solidFill>
                <a:schemeClr val="bg2">
                  <a:lumMod val="50000"/>
                </a:schemeClr>
              </a:solidFill>
            </c:spPr>
          </c:dPt>
          <c:dPt>
            <c:idx val="2"/>
            <c:invertIfNegative val="0"/>
            <c:bubble3D val="0"/>
            <c:spPr>
              <a:solidFill>
                <a:schemeClr val="accent1"/>
              </a:solidFill>
            </c:spPr>
          </c:dPt>
          <c:cat>
            <c:strRef>
              <c:f>Tabelle1!$D$33:$D$35</c:f>
              <c:strCache>
                <c:ptCount val="3"/>
                <c:pt idx="0">
                  <c:v>Startups</c:v>
                </c:pt>
                <c:pt idx="1">
                  <c:v>Immobilien</c:v>
                </c:pt>
                <c:pt idx="2">
                  <c:v>KMU</c:v>
                </c:pt>
              </c:strCache>
            </c:strRef>
          </c:cat>
          <c:val>
            <c:numRef>
              <c:f>Tabelle1!$E$33:$E$35</c:f>
              <c:numCache>
                <c:formatCode>General</c:formatCode>
                <c:ptCount val="3"/>
                <c:pt idx="0">
                  <c:v>649765</c:v>
                </c:pt>
                <c:pt idx="1">
                  <c:v>365129</c:v>
                </c:pt>
                <c:pt idx="2">
                  <c:v>847886</c:v>
                </c:pt>
              </c:numCache>
            </c:numRef>
          </c:val>
        </c:ser>
        <c:dLbls>
          <c:showLegendKey val="0"/>
          <c:showVal val="0"/>
          <c:showCatName val="0"/>
          <c:showSerName val="0"/>
          <c:showPercent val="0"/>
          <c:showBubbleSize val="0"/>
        </c:dLbls>
        <c:gapWidth val="55"/>
        <c:axId val="201443584"/>
        <c:axId val="203481088"/>
      </c:barChart>
      <c:catAx>
        <c:axId val="201443584"/>
        <c:scaling>
          <c:orientation val="minMax"/>
        </c:scaling>
        <c:delete val="0"/>
        <c:axPos val="b"/>
        <c:majorTickMark val="none"/>
        <c:minorTickMark val="none"/>
        <c:tickLblPos val="nextTo"/>
        <c:crossAx val="203481088"/>
        <c:crosses val="autoZero"/>
        <c:auto val="1"/>
        <c:lblAlgn val="ctr"/>
        <c:lblOffset val="100"/>
        <c:noMultiLvlLbl val="0"/>
      </c:catAx>
      <c:valAx>
        <c:axId val="203481088"/>
        <c:scaling>
          <c:orientation val="minMax"/>
        </c:scaling>
        <c:delete val="0"/>
        <c:axPos val="l"/>
        <c:majorGridlines/>
        <c:numFmt formatCode="General" sourceLinked="1"/>
        <c:majorTickMark val="none"/>
        <c:minorTickMark val="none"/>
        <c:tickLblPos val="nextTo"/>
        <c:crossAx val="20144358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A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AT"/>
              <a:t>Basisverzinsung</a:t>
            </a:r>
          </a:p>
        </c:rich>
      </c:tx>
      <c:layout/>
      <c:overlay val="1"/>
    </c:title>
    <c:autoTitleDeleted val="0"/>
    <c:plotArea>
      <c:layout>
        <c:manualLayout>
          <c:layoutTarget val="inner"/>
          <c:xMode val="edge"/>
          <c:yMode val="edge"/>
          <c:x val="4.4757545403442928E-2"/>
          <c:y val="3.3265976584387624E-2"/>
          <c:w val="0.90626768272323444"/>
          <c:h val="0.85510348285116045"/>
        </c:manualLayout>
      </c:layout>
      <c:barChart>
        <c:barDir val="col"/>
        <c:grouping val="clustered"/>
        <c:varyColors val="0"/>
        <c:ser>
          <c:idx val="0"/>
          <c:order val="0"/>
          <c:spPr>
            <a:solidFill>
              <a:schemeClr val="accent1"/>
            </a:solidFill>
          </c:spPr>
          <c:invertIfNegative val="0"/>
          <c:dPt>
            <c:idx val="1"/>
            <c:invertIfNegative val="0"/>
            <c:bubble3D val="0"/>
            <c:spPr>
              <a:solidFill>
                <a:schemeClr val="tx2">
                  <a:lumMod val="20000"/>
                  <a:lumOff val="80000"/>
                </a:schemeClr>
              </a:solidFill>
            </c:spPr>
          </c:dPt>
          <c:dPt>
            <c:idx val="2"/>
            <c:invertIfNegative val="0"/>
            <c:bubble3D val="0"/>
            <c:spPr>
              <a:solidFill>
                <a:schemeClr val="accent2">
                  <a:lumMod val="60000"/>
                  <a:lumOff val="40000"/>
                </a:schemeClr>
              </a:solidFill>
            </c:spPr>
          </c:dPt>
          <c:dPt>
            <c:idx val="3"/>
            <c:invertIfNegative val="0"/>
            <c:bubble3D val="0"/>
            <c:spPr>
              <a:solidFill>
                <a:schemeClr val="accent6">
                  <a:lumMod val="75000"/>
                </a:schemeClr>
              </a:solidFill>
            </c:spPr>
          </c:dPt>
          <c:dPt>
            <c:idx val="4"/>
            <c:invertIfNegative val="0"/>
            <c:bubble3D val="0"/>
            <c:spPr>
              <a:solidFill>
                <a:schemeClr val="bg2">
                  <a:lumMod val="50000"/>
                </a:schemeClr>
              </a:solidFill>
            </c:spPr>
          </c:dPt>
          <c:dPt>
            <c:idx val="5"/>
            <c:invertIfNegative val="0"/>
            <c:bubble3D val="0"/>
            <c:spPr>
              <a:solidFill>
                <a:schemeClr val="accent3">
                  <a:lumMod val="75000"/>
                </a:schemeClr>
              </a:solidFill>
            </c:spPr>
          </c:dPt>
          <c:cat>
            <c:strRef>
              <c:f>Tabelle1!$A$5:$A$9</c:f>
              <c:strCache>
                <c:ptCount val="5"/>
                <c:pt idx="0">
                  <c:v>KMU o Erfolgsbet.</c:v>
                </c:pt>
                <c:pt idx="1">
                  <c:v>KMU m Erfolgsbet.</c:v>
                </c:pt>
                <c:pt idx="2">
                  <c:v>Startup o Erfolgbet.</c:v>
                </c:pt>
                <c:pt idx="3">
                  <c:v>Startup m. Erfolgsbet.</c:v>
                </c:pt>
                <c:pt idx="4">
                  <c:v>Immobilien</c:v>
                </c:pt>
              </c:strCache>
            </c:strRef>
          </c:cat>
          <c:val>
            <c:numRef>
              <c:f>Tabelle1!$B$5:$B$9</c:f>
              <c:numCache>
                <c:formatCode>General</c:formatCode>
                <c:ptCount val="5"/>
                <c:pt idx="0">
                  <c:v>4.97</c:v>
                </c:pt>
                <c:pt idx="1">
                  <c:v>5.08</c:v>
                </c:pt>
                <c:pt idx="2">
                  <c:v>5.76</c:v>
                </c:pt>
                <c:pt idx="3">
                  <c:v>4.43</c:v>
                </c:pt>
                <c:pt idx="4">
                  <c:v>6.52</c:v>
                </c:pt>
              </c:numCache>
            </c:numRef>
          </c:val>
        </c:ser>
        <c:dLbls>
          <c:showLegendKey val="0"/>
          <c:showVal val="0"/>
          <c:showCatName val="0"/>
          <c:showSerName val="0"/>
          <c:showPercent val="0"/>
          <c:showBubbleSize val="0"/>
        </c:dLbls>
        <c:gapWidth val="150"/>
        <c:axId val="224426240"/>
        <c:axId val="224436224"/>
      </c:barChart>
      <c:catAx>
        <c:axId val="224426240"/>
        <c:scaling>
          <c:orientation val="minMax"/>
        </c:scaling>
        <c:delete val="0"/>
        <c:axPos val="b"/>
        <c:majorTickMark val="out"/>
        <c:minorTickMark val="none"/>
        <c:tickLblPos val="nextTo"/>
        <c:crossAx val="224436224"/>
        <c:crosses val="autoZero"/>
        <c:auto val="1"/>
        <c:lblAlgn val="ctr"/>
        <c:lblOffset val="100"/>
        <c:noMultiLvlLbl val="0"/>
      </c:catAx>
      <c:valAx>
        <c:axId val="224436224"/>
        <c:scaling>
          <c:orientation val="minMax"/>
        </c:scaling>
        <c:delete val="0"/>
        <c:axPos val="l"/>
        <c:majorGridlines/>
        <c:numFmt formatCode="General" sourceLinked="1"/>
        <c:majorTickMark val="out"/>
        <c:minorTickMark val="none"/>
        <c:tickLblPos val="nextTo"/>
        <c:crossAx val="224426240"/>
        <c:crosses val="autoZero"/>
        <c:crossBetween val="between"/>
      </c:valAx>
    </c:plotArea>
    <c:legend>
      <c:legendPos val="r"/>
      <c:layout>
        <c:manualLayout>
          <c:xMode val="edge"/>
          <c:yMode val="edge"/>
          <c:x val="6.4283413848631246E-2"/>
          <c:y val="8.5895779881447407E-2"/>
          <c:w val="0.46980139559849704"/>
          <c:h val="0.1690324102745583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7C753-1313-420D-8237-01588BB4A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8483</Words>
  <Characters>61833</Characters>
  <Application>Microsoft Office Word</Application>
  <DocSecurity>0</DocSecurity>
  <Lines>515</Lines>
  <Paragraphs>140</Paragraphs>
  <ScaleCrop>false</ScaleCrop>
  <HeadingPairs>
    <vt:vector size="2" baseType="variant">
      <vt:variant>
        <vt:lpstr>Titel</vt:lpstr>
      </vt:variant>
      <vt:variant>
        <vt:i4>1</vt:i4>
      </vt:variant>
    </vt:vector>
  </HeadingPairs>
  <TitlesOfParts>
    <vt:vector size="1" baseType="lpstr">
      <vt:lpstr>Studie</vt:lpstr>
    </vt:vector>
  </TitlesOfParts>
  <Company>VKI</Company>
  <LinksUpToDate>false</LinksUpToDate>
  <CharactersWithSpaces>70176</CharactersWithSpaces>
  <SharedDoc>false</SharedDoc>
  <HLinks>
    <vt:vector size="222" baseType="variant">
      <vt:variant>
        <vt:i4>1638450</vt:i4>
      </vt:variant>
      <vt:variant>
        <vt:i4>218</vt:i4>
      </vt:variant>
      <vt:variant>
        <vt:i4>0</vt:i4>
      </vt:variant>
      <vt:variant>
        <vt:i4>5</vt:i4>
      </vt:variant>
      <vt:variant>
        <vt:lpwstr/>
      </vt:variant>
      <vt:variant>
        <vt:lpwstr>_Toc490650310</vt:lpwstr>
      </vt:variant>
      <vt:variant>
        <vt:i4>1572914</vt:i4>
      </vt:variant>
      <vt:variant>
        <vt:i4>212</vt:i4>
      </vt:variant>
      <vt:variant>
        <vt:i4>0</vt:i4>
      </vt:variant>
      <vt:variant>
        <vt:i4>5</vt:i4>
      </vt:variant>
      <vt:variant>
        <vt:lpwstr/>
      </vt:variant>
      <vt:variant>
        <vt:lpwstr>_Toc490650309</vt:lpwstr>
      </vt:variant>
      <vt:variant>
        <vt:i4>1572914</vt:i4>
      </vt:variant>
      <vt:variant>
        <vt:i4>206</vt:i4>
      </vt:variant>
      <vt:variant>
        <vt:i4>0</vt:i4>
      </vt:variant>
      <vt:variant>
        <vt:i4>5</vt:i4>
      </vt:variant>
      <vt:variant>
        <vt:lpwstr/>
      </vt:variant>
      <vt:variant>
        <vt:lpwstr>_Toc490650308</vt:lpwstr>
      </vt:variant>
      <vt:variant>
        <vt:i4>1572914</vt:i4>
      </vt:variant>
      <vt:variant>
        <vt:i4>200</vt:i4>
      </vt:variant>
      <vt:variant>
        <vt:i4>0</vt:i4>
      </vt:variant>
      <vt:variant>
        <vt:i4>5</vt:i4>
      </vt:variant>
      <vt:variant>
        <vt:lpwstr/>
      </vt:variant>
      <vt:variant>
        <vt:lpwstr>_Toc490650307</vt:lpwstr>
      </vt:variant>
      <vt:variant>
        <vt:i4>1572914</vt:i4>
      </vt:variant>
      <vt:variant>
        <vt:i4>194</vt:i4>
      </vt:variant>
      <vt:variant>
        <vt:i4>0</vt:i4>
      </vt:variant>
      <vt:variant>
        <vt:i4>5</vt:i4>
      </vt:variant>
      <vt:variant>
        <vt:lpwstr/>
      </vt:variant>
      <vt:variant>
        <vt:lpwstr>_Toc490650306</vt:lpwstr>
      </vt:variant>
      <vt:variant>
        <vt:i4>1572914</vt:i4>
      </vt:variant>
      <vt:variant>
        <vt:i4>188</vt:i4>
      </vt:variant>
      <vt:variant>
        <vt:i4>0</vt:i4>
      </vt:variant>
      <vt:variant>
        <vt:i4>5</vt:i4>
      </vt:variant>
      <vt:variant>
        <vt:lpwstr/>
      </vt:variant>
      <vt:variant>
        <vt:lpwstr>_Toc490650305</vt:lpwstr>
      </vt:variant>
      <vt:variant>
        <vt:i4>1572914</vt:i4>
      </vt:variant>
      <vt:variant>
        <vt:i4>182</vt:i4>
      </vt:variant>
      <vt:variant>
        <vt:i4>0</vt:i4>
      </vt:variant>
      <vt:variant>
        <vt:i4>5</vt:i4>
      </vt:variant>
      <vt:variant>
        <vt:lpwstr/>
      </vt:variant>
      <vt:variant>
        <vt:lpwstr>_Toc490650304</vt:lpwstr>
      </vt:variant>
      <vt:variant>
        <vt:i4>1572914</vt:i4>
      </vt:variant>
      <vt:variant>
        <vt:i4>176</vt:i4>
      </vt:variant>
      <vt:variant>
        <vt:i4>0</vt:i4>
      </vt:variant>
      <vt:variant>
        <vt:i4>5</vt:i4>
      </vt:variant>
      <vt:variant>
        <vt:lpwstr/>
      </vt:variant>
      <vt:variant>
        <vt:lpwstr>_Toc490650303</vt:lpwstr>
      </vt:variant>
      <vt:variant>
        <vt:i4>1572914</vt:i4>
      </vt:variant>
      <vt:variant>
        <vt:i4>170</vt:i4>
      </vt:variant>
      <vt:variant>
        <vt:i4>0</vt:i4>
      </vt:variant>
      <vt:variant>
        <vt:i4>5</vt:i4>
      </vt:variant>
      <vt:variant>
        <vt:lpwstr/>
      </vt:variant>
      <vt:variant>
        <vt:lpwstr>_Toc490650302</vt:lpwstr>
      </vt:variant>
      <vt:variant>
        <vt:i4>1572914</vt:i4>
      </vt:variant>
      <vt:variant>
        <vt:i4>164</vt:i4>
      </vt:variant>
      <vt:variant>
        <vt:i4>0</vt:i4>
      </vt:variant>
      <vt:variant>
        <vt:i4>5</vt:i4>
      </vt:variant>
      <vt:variant>
        <vt:lpwstr/>
      </vt:variant>
      <vt:variant>
        <vt:lpwstr>_Toc490650301</vt:lpwstr>
      </vt:variant>
      <vt:variant>
        <vt:i4>1572914</vt:i4>
      </vt:variant>
      <vt:variant>
        <vt:i4>158</vt:i4>
      </vt:variant>
      <vt:variant>
        <vt:i4>0</vt:i4>
      </vt:variant>
      <vt:variant>
        <vt:i4>5</vt:i4>
      </vt:variant>
      <vt:variant>
        <vt:lpwstr/>
      </vt:variant>
      <vt:variant>
        <vt:lpwstr>_Toc490650300</vt:lpwstr>
      </vt:variant>
      <vt:variant>
        <vt:i4>1114163</vt:i4>
      </vt:variant>
      <vt:variant>
        <vt:i4>152</vt:i4>
      </vt:variant>
      <vt:variant>
        <vt:i4>0</vt:i4>
      </vt:variant>
      <vt:variant>
        <vt:i4>5</vt:i4>
      </vt:variant>
      <vt:variant>
        <vt:lpwstr/>
      </vt:variant>
      <vt:variant>
        <vt:lpwstr>_Toc490650299</vt:lpwstr>
      </vt:variant>
      <vt:variant>
        <vt:i4>1114163</vt:i4>
      </vt:variant>
      <vt:variant>
        <vt:i4>146</vt:i4>
      </vt:variant>
      <vt:variant>
        <vt:i4>0</vt:i4>
      </vt:variant>
      <vt:variant>
        <vt:i4>5</vt:i4>
      </vt:variant>
      <vt:variant>
        <vt:lpwstr/>
      </vt:variant>
      <vt:variant>
        <vt:lpwstr>_Toc490650298</vt:lpwstr>
      </vt:variant>
      <vt:variant>
        <vt:i4>1114163</vt:i4>
      </vt:variant>
      <vt:variant>
        <vt:i4>140</vt:i4>
      </vt:variant>
      <vt:variant>
        <vt:i4>0</vt:i4>
      </vt:variant>
      <vt:variant>
        <vt:i4>5</vt:i4>
      </vt:variant>
      <vt:variant>
        <vt:lpwstr/>
      </vt:variant>
      <vt:variant>
        <vt:lpwstr>_Toc490650297</vt:lpwstr>
      </vt:variant>
      <vt:variant>
        <vt:i4>1114163</vt:i4>
      </vt:variant>
      <vt:variant>
        <vt:i4>134</vt:i4>
      </vt:variant>
      <vt:variant>
        <vt:i4>0</vt:i4>
      </vt:variant>
      <vt:variant>
        <vt:i4>5</vt:i4>
      </vt:variant>
      <vt:variant>
        <vt:lpwstr/>
      </vt:variant>
      <vt:variant>
        <vt:lpwstr>_Toc490650296</vt:lpwstr>
      </vt:variant>
      <vt:variant>
        <vt:i4>1114163</vt:i4>
      </vt:variant>
      <vt:variant>
        <vt:i4>128</vt:i4>
      </vt:variant>
      <vt:variant>
        <vt:i4>0</vt:i4>
      </vt:variant>
      <vt:variant>
        <vt:i4>5</vt:i4>
      </vt:variant>
      <vt:variant>
        <vt:lpwstr/>
      </vt:variant>
      <vt:variant>
        <vt:lpwstr>_Toc490650295</vt:lpwstr>
      </vt:variant>
      <vt:variant>
        <vt:i4>1114163</vt:i4>
      </vt:variant>
      <vt:variant>
        <vt:i4>122</vt:i4>
      </vt:variant>
      <vt:variant>
        <vt:i4>0</vt:i4>
      </vt:variant>
      <vt:variant>
        <vt:i4>5</vt:i4>
      </vt:variant>
      <vt:variant>
        <vt:lpwstr/>
      </vt:variant>
      <vt:variant>
        <vt:lpwstr>_Toc490650294</vt:lpwstr>
      </vt:variant>
      <vt:variant>
        <vt:i4>1114163</vt:i4>
      </vt:variant>
      <vt:variant>
        <vt:i4>116</vt:i4>
      </vt:variant>
      <vt:variant>
        <vt:i4>0</vt:i4>
      </vt:variant>
      <vt:variant>
        <vt:i4>5</vt:i4>
      </vt:variant>
      <vt:variant>
        <vt:lpwstr/>
      </vt:variant>
      <vt:variant>
        <vt:lpwstr>_Toc490650293</vt:lpwstr>
      </vt:variant>
      <vt:variant>
        <vt:i4>1114163</vt:i4>
      </vt:variant>
      <vt:variant>
        <vt:i4>110</vt:i4>
      </vt:variant>
      <vt:variant>
        <vt:i4>0</vt:i4>
      </vt:variant>
      <vt:variant>
        <vt:i4>5</vt:i4>
      </vt:variant>
      <vt:variant>
        <vt:lpwstr/>
      </vt:variant>
      <vt:variant>
        <vt:lpwstr>_Toc490650292</vt:lpwstr>
      </vt:variant>
      <vt:variant>
        <vt:i4>1114163</vt:i4>
      </vt:variant>
      <vt:variant>
        <vt:i4>104</vt:i4>
      </vt:variant>
      <vt:variant>
        <vt:i4>0</vt:i4>
      </vt:variant>
      <vt:variant>
        <vt:i4>5</vt:i4>
      </vt:variant>
      <vt:variant>
        <vt:lpwstr/>
      </vt:variant>
      <vt:variant>
        <vt:lpwstr>_Toc490650291</vt:lpwstr>
      </vt:variant>
      <vt:variant>
        <vt:i4>1114163</vt:i4>
      </vt:variant>
      <vt:variant>
        <vt:i4>98</vt:i4>
      </vt:variant>
      <vt:variant>
        <vt:i4>0</vt:i4>
      </vt:variant>
      <vt:variant>
        <vt:i4>5</vt:i4>
      </vt:variant>
      <vt:variant>
        <vt:lpwstr/>
      </vt:variant>
      <vt:variant>
        <vt:lpwstr>_Toc490650290</vt:lpwstr>
      </vt:variant>
      <vt:variant>
        <vt:i4>1048627</vt:i4>
      </vt:variant>
      <vt:variant>
        <vt:i4>92</vt:i4>
      </vt:variant>
      <vt:variant>
        <vt:i4>0</vt:i4>
      </vt:variant>
      <vt:variant>
        <vt:i4>5</vt:i4>
      </vt:variant>
      <vt:variant>
        <vt:lpwstr/>
      </vt:variant>
      <vt:variant>
        <vt:lpwstr>_Toc490650289</vt:lpwstr>
      </vt:variant>
      <vt:variant>
        <vt:i4>1048627</vt:i4>
      </vt:variant>
      <vt:variant>
        <vt:i4>86</vt:i4>
      </vt:variant>
      <vt:variant>
        <vt:i4>0</vt:i4>
      </vt:variant>
      <vt:variant>
        <vt:i4>5</vt:i4>
      </vt:variant>
      <vt:variant>
        <vt:lpwstr/>
      </vt:variant>
      <vt:variant>
        <vt:lpwstr>_Toc490650288</vt:lpwstr>
      </vt:variant>
      <vt:variant>
        <vt:i4>1048627</vt:i4>
      </vt:variant>
      <vt:variant>
        <vt:i4>80</vt:i4>
      </vt:variant>
      <vt:variant>
        <vt:i4>0</vt:i4>
      </vt:variant>
      <vt:variant>
        <vt:i4>5</vt:i4>
      </vt:variant>
      <vt:variant>
        <vt:lpwstr/>
      </vt:variant>
      <vt:variant>
        <vt:lpwstr>_Toc490650287</vt:lpwstr>
      </vt:variant>
      <vt:variant>
        <vt:i4>1048627</vt:i4>
      </vt:variant>
      <vt:variant>
        <vt:i4>74</vt:i4>
      </vt:variant>
      <vt:variant>
        <vt:i4>0</vt:i4>
      </vt:variant>
      <vt:variant>
        <vt:i4>5</vt:i4>
      </vt:variant>
      <vt:variant>
        <vt:lpwstr/>
      </vt:variant>
      <vt:variant>
        <vt:lpwstr>_Toc490650286</vt:lpwstr>
      </vt:variant>
      <vt:variant>
        <vt:i4>1048627</vt:i4>
      </vt:variant>
      <vt:variant>
        <vt:i4>68</vt:i4>
      </vt:variant>
      <vt:variant>
        <vt:i4>0</vt:i4>
      </vt:variant>
      <vt:variant>
        <vt:i4>5</vt:i4>
      </vt:variant>
      <vt:variant>
        <vt:lpwstr/>
      </vt:variant>
      <vt:variant>
        <vt:lpwstr>_Toc490650285</vt:lpwstr>
      </vt:variant>
      <vt:variant>
        <vt:i4>1048627</vt:i4>
      </vt:variant>
      <vt:variant>
        <vt:i4>62</vt:i4>
      </vt:variant>
      <vt:variant>
        <vt:i4>0</vt:i4>
      </vt:variant>
      <vt:variant>
        <vt:i4>5</vt:i4>
      </vt:variant>
      <vt:variant>
        <vt:lpwstr/>
      </vt:variant>
      <vt:variant>
        <vt:lpwstr>_Toc490650284</vt:lpwstr>
      </vt:variant>
      <vt:variant>
        <vt:i4>1048627</vt:i4>
      </vt:variant>
      <vt:variant>
        <vt:i4>56</vt:i4>
      </vt:variant>
      <vt:variant>
        <vt:i4>0</vt:i4>
      </vt:variant>
      <vt:variant>
        <vt:i4>5</vt:i4>
      </vt:variant>
      <vt:variant>
        <vt:lpwstr/>
      </vt:variant>
      <vt:variant>
        <vt:lpwstr>_Toc490650283</vt:lpwstr>
      </vt:variant>
      <vt:variant>
        <vt:i4>1048627</vt:i4>
      </vt:variant>
      <vt:variant>
        <vt:i4>50</vt:i4>
      </vt:variant>
      <vt:variant>
        <vt:i4>0</vt:i4>
      </vt:variant>
      <vt:variant>
        <vt:i4>5</vt:i4>
      </vt:variant>
      <vt:variant>
        <vt:lpwstr/>
      </vt:variant>
      <vt:variant>
        <vt:lpwstr>_Toc490650282</vt:lpwstr>
      </vt:variant>
      <vt:variant>
        <vt:i4>1048627</vt:i4>
      </vt:variant>
      <vt:variant>
        <vt:i4>44</vt:i4>
      </vt:variant>
      <vt:variant>
        <vt:i4>0</vt:i4>
      </vt:variant>
      <vt:variant>
        <vt:i4>5</vt:i4>
      </vt:variant>
      <vt:variant>
        <vt:lpwstr/>
      </vt:variant>
      <vt:variant>
        <vt:lpwstr>_Toc490650281</vt:lpwstr>
      </vt:variant>
      <vt:variant>
        <vt:i4>1048627</vt:i4>
      </vt:variant>
      <vt:variant>
        <vt:i4>38</vt:i4>
      </vt:variant>
      <vt:variant>
        <vt:i4>0</vt:i4>
      </vt:variant>
      <vt:variant>
        <vt:i4>5</vt:i4>
      </vt:variant>
      <vt:variant>
        <vt:lpwstr/>
      </vt:variant>
      <vt:variant>
        <vt:lpwstr>_Toc490650280</vt:lpwstr>
      </vt:variant>
      <vt:variant>
        <vt:i4>2031667</vt:i4>
      </vt:variant>
      <vt:variant>
        <vt:i4>32</vt:i4>
      </vt:variant>
      <vt:variant>
        <vt:i4>0</vt:i4>
      </vt:variant>
      <vt:variant>
        <vt:i4>5</vt:i4>
      </vt:variant>
      <vt:variant>
        <vt:lpwstr/>
      </vt:variant>
      <vt:variant>
        <vt:lpwstr>_Toc490650279</vt:lpwstr>
      </vt:variant>
      <vt:variant>
        <vt:i4>2031667</vt:i4>
      </vt:variant>
      <vt:variant>
        <vt:i4>26</vt:i4>
      </vt:variant>
      <vt:variant>
        <vt:i4>0</vt:i4>
      </vt:variant>
      <vt:variant>
        <vt:i4>5</vt:i4>
      </vt:variant>
      <vt:variant>
        <vt:lpwstr/>
      </vt:variant>
      <vt:variant>
        <vt:lpwstr>_Toc490650278</vt:lpwstr>
      </vt:variant>
      <vt:variant>
        <vt:i4>2031667</vt:i4>
      </vt:variant>
      <vt:variant>
        <vt:i4>20</vt:i4>
      </vt:variant>
      <vt:variant>
        <vt:i4>0</vt:i4>
      </vt:variant>
      <vt:variant>
        <vt:i4>5</vt:i4>
      </vt:variant>
      <vt:variant>
        <vt:lpwstr/>
      </vt:variant>
      <vt:variant>
        <vt:lpwstr>_Toc490650277</vt:lpwstr>
      </vt:variant>
      <vt:variant>
        <vt:i4>2031667</vt:i4>
      </vt:variant>
      <vt:variant>
        <vt:i4>14</vt:i4>
      </vt:variant>
      <vt:variant>
        <vt:i4>0</vt:i4>
      </vt:variant>
      <vt:variant>
        <vt:i4>5</vt:i4>
      </vt:variant>
      <vt:variant>
        <vt:lpwstr/>
      </vt:variant>
      <vt:variant>
        <vt:lpwstr>_Toc490650276</vt:lpwstr>
      </vt:variant>
      <vt:variant>
        <vt:i4>2031667</vt:i4>
      </vt:variant>
      <vt:variant>
        <vt:i4>8</vt:i4>
      </vt:variant>
      <vt:variant>
        <vt:i4>0</vt:i4>
      </vt:variant>
      <vt:variant>
        <vt:i4>5</vt:i4>
      </vt:variant>
      <vt:variant>
        <vt:lpwstr/>
      </vt:variant>
      <vt:variant>
        <vt:lpwstr>_Toc490650275</vt:lpwstr>
      </vt:variant>
      <vt:variant>
        <vt:i4>2031667</vt:i4>
      </vt:variant>
      <vt:variant>
        <vt:i4>2</vt:i4>
      </vt:variant>
      <vt:variant>
        <vt:i4>0</vt:i4>
      </vt:variant>
      <vt:variant>
        <vt:i4>5</vt:i4>
      </vt:variant>
      <vt:variant>
        <vt:lpwstr/>
      </vt:variant>
      <vt:variant>
        <vt:lpwstr>_Toc490650274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dc:title>
  <dc:creator>Hager</dc:creator>
  <cp:lastModifiedBy>BL</cp:lastModifiedBy>
  <cp:revision>72</cp:revision>
  <cp:lastPrinted>2018-03-21T10:21:00Z</cp:lastPrinted>
  <dcterms:created xsi:type="dcterms:W3CDTF">2018-03-19T18:13:00Z</dcterms:created>
  <dcterms:modified xsi:type="dcterms:W3CDTF">2018-05-11T08:07:00Z</dcterms:modified>
</cp:coreProperties>
</file>